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8D0A06" w:rsidRPr="004921AB">
        <w:rPr>
          <w:rFonts w:ascii="方正小标宋简体" w:eastAsia="方正小标宋简体" w:hint="eastAsia"/>
          <w:sz w:val="44"/>
          <w:szCs w:val="44"/>
        </w:rPr>
        <w:t>MDST</w:t>
      </w:r>
      <w:r w:rsidRPr="004921AB">
        <w:rPr>
          <w:rFonts w:ascii="方正小标宋简体" w:eastAsia="方正小标宋简体" w:hint="eastAsia"/>
          <w:sz w:val="44"/>
          <w:szCs w:val="44"/>
        </w:rPr>
        <w:t>-</w:t>
      </w:r>
      <w:r w:rsidR="00CC41C4">
        <w:rPr>
          <w:rFonts w:ascii="方正小标宋简体" w:eastAsia="方正小标宋简体" w:hint="eastAsia"/>
          <w:sz w:val="44"/>
          <w:szCs w:val="44"/>
        </w:rPr>
        <w:t>2017-07</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A3145F">
      <w:pPr>
        <w:spacing w:line="0" w:lineRule="atLeast"/>
        <w:jc w:val="center"/>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6F5F0E" w:rsidRPr="00A3145F">
        <w:rPr>
          <w:rFonts w:ascii="方正小标宋简体" w:eastAsia="方正小标宋简体" w:hint="eastAsia"/>
          <w:bCs/>
          <w:sz w:val="44"/>
          <w:szCs w:val="44"/>
        </w:rPr>
        <w:t>消防泵房顶、侧部漏水检修、路面开挖回填</w:t>
      </w:r>
      <w:r w:rsidR="00CC41C4">
        <w:rPr>
          <w:rFonts w:ascii="方正小标宋简体" w:eastAsia="方正小标宋简体" w:hint="eastAsia"/>
          <w:bCs/>
          <w:sz w:val="44"/>
          <w:szCs w:val="44"/>
        </w:rPr>
        <w:t>、药品光稳定箱</w:t>
      </w:r>
      <w:r w:rsidR="0057504A">
        <w:rPr>
          <w:rFonts w:ascii="方正小标宋简体" w:eastAsia="方正小标宋简体" w:hint="eastAsia"/>
          <w:bCs/>
          <w:sz w:val="44"/>
          <w:szCs w:val="44"/>
        </w:rPr>
        <w:t>采购</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CC41C4">
        <w:rPr>
          <w:rFonts w:ascii="方正小标宋简体" w:eastAsia="方正小标宋简体" w:hint="eastAsia"/>
          <w:bCs/>
          <w:sz w:val="44"/>
          <w:szCs w:val="44"/>
        </w:rPr>
        <w:t>06-14</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DE7B03"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DE7B03"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DE7B03">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lastRenderedPageBreak/>
        <w:t>第一部分 询价公告</w:t>
      </w:r>
    </w:p>
    <w:p w:rsidR="00CC41C4" w:rsidRDefault="0064319E" w:rsidP="00CC41C4">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130F56">
        <w:rPr>
          <w:rFonts w:ascii="仿宋_GB2312" w:eastAsia="仿宋_GB2312" w:hint="eastAsia"/>
          <w:color w:val="000000"/>
          <w:sz w:val="32"/>
          <w:szCs w:val="32"/>
        </w:rPr>
        <w:t>购买</w:t>
      </w:r>
      <w:r w:rsidR="00D51163">
        <w:rPr>
          <w:rFonts w:ascii="仿宋_GB2312" w:eastAsia="仿宋_GB2312" w:hint="eastAsia"/>
          <w:color w:val="000000"/>
          <w:sz w:val="32"/>
          <w:szCs w:val="32"/>
        </w:rPr>
        <w:t>消防泵房顶、侧部漏水检修、路面开挖回填</w:t>
      </w:r>
      <w:r w:rsidR="000174EF" w:rsidRPr="000174EF">
        <w:rPr>
          <w:rFonts w:ascii="仿宋_GB2312" w:eastAsia="仿宋_GB2312" w:hint="eastAsia"/>
          <w:color w:val="000000"/>
          <w:sz w:val="32"/>
          <w:szCs w:val="32"/>
        </w:rPr>
        <w:t>服务</w:t>
      </w:r>
      <w:r w:rsidR="00CC41C4">
        <w:rPr>
          <w:rFonts w:ascii="仿宋_GB2312" w:eastAsia="仿宋_GB2312" w:hint="eastAsia"/>
          <w:color w:val="000000"/>
          <w:sz w:val="32"/>
          <w:szCs w:val="32"/>
        </w:rPr>
        <w:t>、药品光稳定试验箱两个项目，</w:t>
      </w:r>
      <w:r w:rsidR="008537CB" w:rsidRPr="00B12C55">
        <w:rPr>
          <w:rFonts w:ascii="仿宋_GB2312" w:eastAsia="仿宋_GB2312" w:hint="eastAsia"/>
          <w:color w:val="000000"/>
          <w:sz w:val="32"/>
          <w:szCs w:val="32"/>
        </w:rPr>
        <w:t>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CC41C4" w:rsidRDefault="00CC41C4" w:rsidP="00CC41C4">
      <w:pPr>
        <w:pStyle w:val="a7"/>
        <w:spacing w:line="360" w:lineRule="auto"/>
        <w:ind w:firstLineChars="0" w:firstLine="0"/>
        <w:jc w:val="lef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88348A" w:rsidRPr="00B12C55">
        <w:rPr>
          <w:rFonts w:ascii="仿宋_GB2312" w:eastAsia="仿宋_GB2312" w:hint="eastAsia"/>
          <w:color w:val="000000"/>
          <w:sz w:val="32"/>
          <w:szCs w:val="32"/>
        </w:rPr>
        <w:t>MDST-</w:t>
      </w:r>
      <w:r w:rsidR="008A0A18" w:rsidRPr="00B12C55">
        <w:rPr>
          <w:rFonts w:ascii="仿宋_GB2312" w:eastAsia="仿宋_GB2312" w:hint="eastAsia"/>
          <w:color w:val="000000"/>
          <w:sz w:val="32"/>
          <w:szCs w:val="32"/>
        </w:rPr>
        <w:t>2017-0</w:t>
      </w:r>
      <w:r>
        <w:rPr>
          <w:rFonts w:ascii="仿宋_GB2312" w:eastAsia="仿宋_GB2312" w:hint="eastAsia"/>
          <w:color w:val="000000"/>
          <w:sz w:val="32"/>
          <w:szCs w:val="32"/>
        </w:rPr>
        <w:t>7</w:t>
      </w: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w:t>
      </w:r>
      <w:bookmarkStart w:id="0" w:name="B09_招标内容"/>
      <w:bookmarkEnd w:id="0"/>
      <w:r w:rsidR="00FE4A75" w:rsidRPr="00B12C55">
        <w:rPr>
          <w:rFonts w:ascii="仿宋_GB2312" w:eastAsia="仿宋_GB2312" w:hint="eastAsia"/>
          <w:color w:val="000000"/>
          <w:sz w:val="32"/>
          <w:szCs w:val="32"/>
        </w:rPr>
        <w:t>采购内容：</w:t>
      </w:r>
      <w:r>
        <w:rPr>
          <w:rFonts w:ascii="仿宋_GB2312" w:eastAsia="仿宋_GB2312" w:hint="eastAsia"/>
          <w:color w:val="000000"/>
          <w:sz w:val="32"/>
          <w:szCs w:val="32"/>
        </w:rPr>
        <w:t xml:space="preserve"> </w:t>
      </w:r>
    </w:p>
    <w:p w:rsidR="00CC41C4" w:rsidRDefault="00CC41C4">
      <w:pPr>
        <w:spacing w:line="440" w:lineRule="exact"/>
        <w:rPr>
          <w:rFonts w:ascii="仿宋_GB2312" w:eastAsia="仿宋_GB2312" w:hAnsi="Calibri"/>
          <w:color w:val="000000"/>
          <w:sz w:val="32"/>
          <w:szCs w:val="32"/>
        </w:rPr>
      </w:pPr>
      <w:r>
        <w:rPr>
          <w:rFonts w:ascii="仿宋_GB2312" w:eastAsia="仿宋_GB2312" w:hint="eastAsia"/>
          <w:color w:val="000000"/>
          <w:sz w:val="32"/>
          <w:szCs w:val="32"/>
        </w:rPr>
        <w:t>标项1、</w:t>
      </w:r>
      <w:r w:rsidR="008E25B0">
        <w:rPr>
          <w:rFonts w:ascii="仿宋_GB2312" w:eastAsia="仿宋_GB2312" w:hint="eastAsia"/>
          <w:color w:val="000000"/>
          <w:sz w:val="32"/>
          <w:szCs w:val="32"/>
        </w:rPr>
        <w:t>消防泵房顶、侧部漏水检修、路面开挖回填</w:t>
      </w:r>
      <w:r>
        <w:rPr>
          <w:rFonts w:ascii="仿宋_GB2312" w:eastAsia="仿宋_GB2312" w:hint="eastAsia"/>
          <w:color w:val="000000"/>
          <w:sz w:val="32"/>
          <w:szCs w:val="32"/>
        </w:rPr>
        <w:t>服务</w:t>
      </w:r>
      <w:r w:rsidR="00130F56" w:rsidRPr="00130F56">
        <w:rPr>
          <w:rFonts w:ascii="仿宋_GB2312" w:eastAsia="仿宋_GB2312" w:hAnsi="Calibri"/>
          <w:color w:val="000000"/>
          <w:sz w:val="32"/>
          <w:szCs w:val="32"/>
        </w:rPr>
        <w:br/>
        <w:t>要求</w:t>
      </w:r>
      <w:r w:rsidR="00130F56">
        <w:rPr>
          <w:rFonts w:ascii="仿宋_GB2312" w:eastAsia="仿宋_GB2312" w:hAnsi="Calibri" w:hint="eastAsia"/>
          <w:color w:val="000000"/>
          <w:sz w:val="32"/>
          <w:szCs w:val="32"/>
        </w:rPr>
        <w:t>：</w:t>
      </w:r>
    </w:p>
    <w:p w:rsidR="00847E54" w:rsidRDefault="00CC41C4">
      <w:pPr>
        <w:spacing w:line="440" w:lineRule="exact"/>
        <w:rPr>
          <w:rFonts w:ascii="仿宋_GB2312" w:eastAsia="仿宋_GB2312"/>
          <w:color w:val="000000"/>
          <w:sz w:val="32"/>
          <w:szCs w:val="32"/>
        </w:rPr>
      </w:pPr>
      <w:r>
        <w:rPr>
          <w:rFonts w:ascii="仿宋_GB2312" w:eastAsia="仿宋_GB2312" w:hAnsi="Calibri" w:hint="eastAsia"/>
          <w:color w:val="000000"/>
          <w:sz w:val="32"/>
          <w:szCs w:val="32"/>
        </w:rPr>
        <w:t>（1）</w:t>
      </w:r>
      <w:r w:rsidR="00847E54">
        <w:rPr>
          <w:rFonts w:ascii="仿宋_GB2312" w:eastAsia="仿宋_GB2312" w:hAnsi="Calibri" w:hint="eastAsia"/>
          <w:color w:val="000000"/>
          <w:sz w:val="32"/>
          <w:szCs w:val="32"/>
        </w:rPr>
        <w:t>根据</w:t>
      </w:r>
      <w:r w:rsidR="00847E54">
        <w:rPr>
          <w:rFonts w:ascii="仿宋_GB2312" w:eastAsia="仿宋_GB2312" w:hint="eastAsia"/>
          <w:color w:val="000000"/>
          <w:sz w:val="32"/>
          <w:szCs w:val="32"/>
        </w:rPr>
        <w:t>消防泵房顶、侧面漏水位置确定路面开挖范围；</w:t>
      </w: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（2）</w:t>
      </w:r>
      <w:r w:rsidR="00847E54">
        <w:rPr>
          <w:rFonts w:ascii="仿宋_GB2312" w:eastAsia="仿宋_GB2312" w:hint="eastAsia"/>
          <w:color w:val="000000"/>
          <w:sz w:val="32"/>
          <w:szCs w:val="32"/>
        </w:rPr>
        <w:t>根据开挖范围进行开挖、查找漏水原因。若开挖部分有漏水情况，负责对漏水进行维修。</w:t>
      </w: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（3）</w:t>
      </w:r>
      <w:r w:rsidR="00BD1320">
        <w:rPr>
          <w:rFonts w:ascii="仿宋_GB2312" w:eastAsia="仿宋_GB2312" w:hint="eastAsia"/>
          <w:color w:val="000000"/>
          <w:sz w:val="32"/>
          <w:szCs w:val="32"/>
        </w:rPr>
        <w:t>开挖部分回填。要求回填后恢复开挖前原状（含绿化和混凝土路面）。</w:t>
      </w:r>
    </w:p>
    <w:p w:rsidR="00FE4A75"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（4）</w:t>
      </w:r>
      <w:r w:rsidR="009A32CB" w:rsidRPr="006848DB">
        <w:rPr>
          <w:rFonts w:ascii="仿宋_GB2312" w:eastAsia="仿宋_GB2312" w:hint="eastAsia"/>
          <w:color w:val="000000"/>
          <w:sz w:val="32"/>
          <w:szCs w:val="32"/>
        </w:rPr>
        <w:t>付款条件：</w:t>
      </w:r>
      <w:r w:rsidR="00BD1320">
        <w:rPr>
          <w:rFonts w:ascii="仿宋_GB2312" w:eastAsia="仿宋_GB2312" w:hint="eastAsia"/>
          <w:color w:val="000000"/>
          <w:sz w:val="32"/>
          <w:szCs w:val="32"/>
        </w:rPr>
        <w:t>回填后，验收合格后一次性支付</w:t>
      </w:r>
      <w:r w:rsidR="009A32CB" w:rsidRPr="006848DB">
        <w:rPr>
          <w:rFonts w:ascii="仿宋_GB2312" w:eastAsia="仿宋_GB2312" w:hint="eastAsia"/>
          <w:color w:val="000000"/>
          <w:sz w:val="32"/>
          <w:szCs w:val="32"/>
        </w:rPr>
        <w:t>。</w:t>
      </w:r>
    </w:p>
    <w:p w:rsidR="00CC41C4" w:rsidRDefault="00CC41C4">
      <w:pPr>
        <w:spacing w:line="440" w:lineRule="exact"/>
        <w:rPr>
          <w:rFonts w:ascii="仿宋_GB2312" w:eastAsia="仿宋_GB2312"/>
          <w:color w:val="000000"/>
          <w:sz w:val="32"/>
          <w:szCs w:val="32"/>
        </w:rPr>
      </w:pP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标项2、药品光稳定性试验箱</w:t>
      </w: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要求：</w:t>
      </w:r>
    </w:p>
    <w:p w:rsidR="00444FC2"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（1）型号BXS-400，厂家：博迅</w:t>
      </w: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（2）主要参数：冷白荧光0-6000Lux可调/</w:t>
      </w:r>
      <w:r w:rsidR="00444FC2">
        <w:rPr>
          <w:rFonts w:ascii="仿宋_GB2312" w:eastAsia="仿宋_GB2312" w:hint="eastAsia"/>
          <w:color w:val="000000"/>
          <w:sz w:val="32"/>
          <w:szCs w:val="32"/>
        </w:rPr>
        <w:t>±500Lux</w:t>
      </w:r>
    </w:p>
    <w:p w:rsidR="00444FC2" w:rsidRDefault="00444FC2">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(3)用途：用于避光输液器药物相容性试验。</w:t>
      </w:r>
    </w:p>
    <w:p w:rsidR="00444FC2" w:rsidRPr="00444FC2" w:rsidRDefault="00444FC2">
      <w:pPr>
        <w:spacing w:line="440" w:lineRule="exact"/>
        <w:rPr>
          <w:rFonts w:ascii="仿宋_GB2312" w:eastAsia="仿宋_GB2312"/>
          <w:color w:val="000000"/>
          <w:sz w:val="32"/>
          <w:szCs w:val="32"/>
        </w:rPr>
      </w:pPr>
      <w:r>
        <w:rPr>
          <w:rFonts w:ascii="仿宋_GB2312" w:eastAsia="仿宋_GB2312" w:hint="eastAsia"/>
          <w:color w:val="000000"/>
          <w:sz w:val="32"/>
          <w:szCs w:val="32"/>
        </w:rPr>
        <w:t>（4）付款方式：验收合格后7天内一次性支付全款。</w:t>
      </w:r>
    </w:p>
    <w:p w:rsidR="00D463CA" w:rsidRPr="006848DB" w:rsidRDefault="00BD1320">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51163">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444FC2">
        <w:rPr>
          <w:rFonts w:ascii="仿宋_GB2312" w:eastAsia="仿宋_GB2312" w:hint="eastAsia"/>
          <w:color w:val="000000"/>
          <w:sz w:val="32"/>
          <w:szCs w:val="32"/>
        </w:rPr>
        <w:t>14</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51163">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444FC2">
        <w:rPr>
          <w:rFonts w:ascii="仿宋_GB2312" w:eastAsia="仿宋_GB2312" w:hint="eastAsia"/>
          <w:color w:val="000000"/>
          <w:sz w:val="32"/>
          <w:szCs w:val="32"/>
        </w:rPr>
        <w:t>21</w:t>
      </w:r>
      <w:r w:rsidR="008537CB" w:rsidRPr="006848DB">
        <w:rPr>
          <w:rFonts w:ascii="仿宋_GB2312" w:eastAsia="仿宋_GB2312" w:hint="eastAsia"/>
          <w:color w:val="000000"/>
          <w:sz w:val="32"/>
          <w:szCs w:val="32"/>
        </w:rPr>
        <w:lastRenderedPageBreak/>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51163">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444FC2">
        <w:rPr>
          <w:rFonts w:ascii="仿宋_GB2312" w:eastAsia="仿宋_GB2312" w:hint="eastAsia"/>
          <w:color w:val="000000"/>
          <w:sz w:val="32"/>
          <w:szCs w:val="32"/>
        </w:rPr>
        <w:t>21</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下沙开发区25号大街</w:t>
      </w:r>
    </w:p>
    <w:p w:rsidR="00975F7E" w:rsidRPr="006848DB" w:rsidRDefault="004550D3" w:rsidP="006A7A40">
      <w:pPr>
        <w:spacing w:line="440" w:lineRule="exact"/>
        <w:rPr>
          <w:rFonts w:ascii="仿宋_GB2312" w:eastAsia="仿宋_GB2312"/>
          <w:sz w:val="32"/>
          <w:szCs w:val="32"/>
        </w:rPr>
      </w:pPr>
      <w:r>
        <w:rPr>
          <w:rFonts w:ascii="仿宋_GB2312" w:eastAsia="仿宋_GB2312" w:hint="eastAsia"/>
          <w:sz w:val="32"/>
          <w:szCs w:val="32"/>
        </w:rPr>
        <w:t xml:space="preserve">联系人：熊老师 </w:t>
      </w:r>
      <w:r w:rsidR="008537CB" w:rsidRPr="006848DB">
        <w:rPr>
          <w:rFonts w:ascii="仿宋_GB2312" w:eastAsia="仿宋_GB2312" w:hint="eastAsia"/>
          <w:sz w:val="32"/>
          <w:szCs w:val="32"/>
        </w:rPr>
        <w:t xml:space="preserve"> 联系电话：</w:t>
      </w:r>
      <w:r w:rsidR="00853C55"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00853C55"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486715">
        <w:rPr>
          <w:rFonts w:ascii="仿宋_GB2312" w:eastAsia="仿宋_GB2312" w:hint="eastAsia"/>
          <w:sz w:val="32"/>
          <w:szCs w:val="32"/>
        </w:rPr>
        <w:t>（二）</w:t>
      </w:r>
      <w:r w:rsidR="008537CB" w:rsidRPr="00511213">
        <w:rPr>
          <w:rFonts w:ascii="仿宋_GB2312" w:eastAsia="仿宋_GB2312" w:hint="eastAsia"/>
          <w:sz w:val="32"/>
          <w:szCs w:val="32"/>
        </w:rPr>
        <w:t>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lastRenderedPageBreak/>
        <w:t xml:space="preserve">    </w:t>
      </w:r>
      <w:r w:rsidR="008537CB" w:rsidRPr="00B12C55">
        <w:rPr>
          <w:rFonts w:ascii="仿宋_GB2312" w:eastAsia="仿宋_GB2312" w:hint="eastAsia"/>
          <w:sz w:val="32"/>
          <w:szCs w:val="32"/>
        </w:rPr>
        <w:t>（六）</w:t>
      </w:r>
      <w:r w:rsidR="00444FC2">
        <w:rPr>
          <w:rFonts w:ascii="仿宋_GB2312" w:eastAsia="仿宋_GB2312" w:hint="eastAsia"/>
          <w:color w:val="000000"/>
          <w:sz w:val="32"/>
          <w:szCs w:val="32"/>
        </w:rPr>
        <w:t>采购项目</w:t>
      </w:r>
      <w:r w:rsidR="00486715" w:rsidRPr="00130F56">
        <w:rPr>
          <w:rFonts w:ascii="仿宋_GB2312" w:eastAsia="仿宋_GB2312" w:hint="eastAsia"/>
          <w:color w:val="000000"/>
          <w:sz w:val="32"/>
          <w:szCs w:val="32"/>
        </w:rPr>
        <w:t>服务</w:t>
      </w:r>
      <w:r w:rsidR="00486715">
        <w:rPr>
          <w:rFonts w:ascii="仿宋_GB2312" w:eastAsia="仿宋_GB2312" w:hint="eastAsia"/>
          <w:color w:val="000000"/>
          <w:sz w:val="32"/>
          <w:szCs w:val="32"/>
        </w:rPr>
        <w:t>方案</w:t>
      </w:r>
      <w:r w:rsidR="008537CB" w:rsidRPr="00B12C55">
        <w:rPr>
          <w:rFonts w:ascii="仿宋_GB2312" w:eastAsia="仿宋_GB2312" w:hint="eastAsia"/>
          <w:sz w:val="32"/>
          <w:szCs w:val="32"/>
        </w:rPr>
        <w:t>；</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（七）符合年检的营业执照副本复印件、符合年检的税务登记证书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9B526A">
        <w:rPr>
          <w:rFonts w:ascii="仿宋_GB2312" w:eastAsia="仿宋_GB2312" w:hint="eastAsia"/>
          <w:color w:val="000000"/>
          <w:sz w:val="32"/>
          <w:szCs w:val="32"/>
        </w:rPr>
        <w:t>6</w:t>
      </w:r>
      <w:r w:rsidRPr="00511213">
        <w:rPr>
          <w:rFonts w:ascii="仿宋_GB2312" w:eastAsia="仿宋_GB2312" w:hint="eastAsia"/>
          <w:color w:val="000000"/>
          <w:sz w:val="32"/>
          <w:szCs w:val="32"/>
        </w:rPr>
        <w:t>月</w:t>
      </w:r>
      <w:r w:rsidR="00444FC2">
        <w:rPr>
          <w:rFonts w:ascii="仿宋_GB2312" w:eastAsia="仿宋_GB2312" w:hint="eastAsia"/>
          <w:color w:val="000000"/>
          <w:sz w:val="32"/>
          <w:szCs w:val="32"/>
        </w:rPr>
        <w:t>21</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486715">
        <w:rPr>
          <w:rFonts w:ascii="仿宋_GB2312" w:eastAsia="仿宋_GB2312" w:hint="eastAsia"/>
          <w:sz w:val="32"/>
          <w:szCs w:val="32"/>
        </w:rPr>
        <w:t>与中标单位签订</w:t>
      </w:r>
      <w:r w:rsidR="00D31953" w:rsidRPr="00511213">
        <w:rPr>
          <w:rFonts w:ascii="仿宋_GB2312" w:eastAsia="仿宋_GB2312" w:hint="eastAsia"/>
          <w:sz w:val="32"/>
          <w:szCs w:val="32"/>
        </w:rPr>
        <w:t>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lastRenderedPageBreak/>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57504A">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57504A">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57504A">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57504A">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DE7B03" w:rsidP="005B5143">
      <w:pPr>
        <w:spacing w:line="480" w:lineRule="auto"/>
        <w:rPr>
          <w:rFonts w:ascii="仿宋_GB2312" w:eastAsia="仿宋_GB2312"/>
          <w:sz w:val="32"/>
          <w:szCs w:val="32"/>
          <w:u w:val="single"/>
        </w:rPr>
      </w:pPr>
      <w:r w:rsidRPr="00DE7B03">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57504A">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C6050E" w:rsidRDefault="00C6050E" w:rsidP="004404F9">
      <w:pPr>
        <w:adjustRightInd w:val="0"/>
        <w:snapToGrid w:val="0"/>
        <w:spacing w:line="360" w:lineRule="auto"/>
        <w:jc w:val="center"/>
        <w:rPr>
          <w:rFonts w:ascii="仿宋_GB2312" w:eastAsia="仿宋_GB2312" w:hAnsi="宋体"/>
          <w:spacing w:val="20"/>
          <w:sz w:val="32"/>
          <w:szCs w:val="32"/>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p w:rsidR="00C6050E" w:rsidRPr="00C6050E" w:rsidRDefault="009B526A" w:rsidP="00056A33">
      <w:pPr>
        <w:adjustRightInd w:val="0"/>
        <w:snapToGrid w:val="0"/>
        <w:spacing w:line="360" w:lineRule="auto"/>
        <w:rPr>
          <w:rFonts w:ascii="仿宋_GB2312" w:eastAsia="仿宋_GB2312" w:hAnsi="宋体"/>
          <w:spacing w:val="20"/>
          <w:sz w:val="32"/>
          <w:szCs w:val="32"/>
        </w:rPr>
      </w:pPr>
      <w:r>
        <w:rPr>
          <w:rFonts w:ascii="仿宋_GB2312" w:eastAsia="仿宋_GB2312" w:hAnsi="宋体" w:hint="eastAsia"/>
          <w:spacing w:val="20"/>
          <w:sz w:val="32"/>
          <w:szCs w:val="32"/>
        </w:rPr>
        <w:lastRenderedPageBreak/>
        <w:t xml:space="preserve">     </w:t>
      </w:r>
      <w:r w:rsidR="00056A33">
        <w:rPr>
          <w:rFonts w:ascii="仿宋_GB2312" w:eastAsia="仿宋_GB2312" w:hAnsi="宋体" w:hint="eastAsia"/>
          <w:spacing w:val="20"/>
          <w:sz w:val="32"/>
          <w:szCs w:val="32"/>
        </w:rPr>
        <w:t>附件五</w:t>
      </w:r>
      <w:r w:rsidR="000D2921">
        <w:rPr>
          <w:rFonts w:ascii="仿宋_GB2312" w:eastAsia="仿宋_GB2312" w:hint="eastAsia"/>
          <w:color w:val="000000"/>
          <w:sz w:val="32"/>
          <w:szCs w:val="32"/>
          <w:u w:val="single"/>
        </w:rPr>
        <w:t xml:space="preserve">               项目</w:t>
      </w:r>
      <w:r w:rsidR="00F469FF" w:rsidRPr="00130F56">
        <w:rPr>
          <w:rFonts w:ascii="仿宋_GB2312" w:eastAsia="仿宋_GB2312" w:hint="eastAsia"/>
          <w:color w:val="000000"/>
          <w:sz w:val="32"/>
          <w:szCs w:val="32"/>
        </w:rPr>
        <w:t>服务</w:t>
      </w:r>
      <w:r w:rsidR="00F469FF">
        <w:rPr>
          <w:rFonts w:ascii="仿宋_GB2312" w:eastAsia="仿宋_GB2312" w:hint="eastAsia"/>
          <w:color w:val="000000"/>
          <w:sz w:val="32"/>
          <w:szCs w:val="32"/>
        </w:rPr>
        <w:t>方案</w:t>
      </w: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166" w:rsidRDefault="00364166" w:rsidP="00D9444C">
      <w:r>
        <w:separator/>
      </w:r>
    </w:p>
  </w:endnote>
  <w:endnote w:type="continuationSeparator" w:id="1">
    <w:p w:rsidR="00364166" w:rsidRDefault="00364166"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166" w:rsidRDefault="00364166" w:rsidP="00D9444C">
      <w:r>
        <w:separator/>
      </w:r>
    </w:p>
  </w:footnote>
  <w:footnote w:type="continuationSeparator" w:id="1">
    <w:p w:rsidR="00364166" w:rsidRDefault="00364166"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67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4EF"/>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75A6D"/>
    <w:rsid w:val="00083B85"/>
    <w:rsid w:val="00085068"/>
    <w:rsid w:val="00086653"/>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2921"/>
    <w:rsid w:val="000D43EB"/>
    <w:rsid w:val="000D74AD"/>
    <w:rsid w:val="000F1872"/>
    <w:rsid w:val="00102038"/>
    <w:rsid w:val="001064C1"/>
    <w:rsid w:val="001141BF"/>
    <w:rsid w:val="001202B5"/>
    <w:rsid w:val="00127772"/>
    <w:rsid w:val="00130F56"/>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02FD"/>
    <w:rsid w:val="002308A5"/>
    <w:rsid w:val="002349B6"/>
    <w:rsid w:val="00236147"/>
    <w:rsid w:val="002407D8"/>
    <w:rsid w:val="002472F4"/>
    <w:rsid w:val="00247FEF"/>
    <w:rsid w:val="002501BC"/>
    <w:rsid w:val="00251A64"/>
    <w:rsid w:val="0025316F"/>
    <w:rsid w:val="00260581"/>
    <w:rsid w:val="002714D9"/>
    <w:rsid w:val="00275303"/>
    <w:rsid w:val="002762D8"/>
    <w:rsid w:val="00281C7F"/>
    <w:rsid w:val="00282D97"/>
    <w:rsid w:val="00283B43"/>
    <w:rsid w:val="00284901"/>
    <w:rsid w:val="002922EE"/>
    <w:rsid w:val="00292982"/>
    <w:rsid w:val="002963A2"/>
    <w:rsid w:val="002A1B24"/>
    <w:rsid w:val="002A2837"/>
    <w:rsid w:val="002A6017"/>
    <w:rsid w:val="002A70FA"/>
    <w:rsid w:val="002B1C86"/>
    <w:rsid w:val="002C3C60"/>
    <w:rsid w:val="002C5B46"/>
    <w:rsid w:val="002D1755"/>
    <w:rsid w:val="002D3D69"/>
    <w:rsid w:val="002D3F2D"/>
    <w:rsid w:val="002E3B9C"/>
    <w:rsid w:val="002E5B7D"/>
    <w:rsid w:val="002F0F12"/>
    <w:rsid w:val="002F4096"/>
    <w:rsid w:val="002F4F0E"/>
    <w:rsid w:val="00302A17"/>
    <w:rsid w:val="00302FBE"/>
    <w:rsid w:val="00303149"/>
    <w:rsid w:val="00303155"/>
    <w:rsid w:val="0030339C"/>
    <w:rsid w:val="00303B0C"/>
    <w:rsid w:val="00315827"/>
    <w:rsid w:val="00316A21"/>
    <w:rsid w:val="003338BB"/>
    <w:rsid w:val="00337E04"/>
    <w:rsid w:val="00354556"/>
    <w:rsid w:val="0036416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E387D"/>
    <w:rsid w:val="003F4F4D"/>
    <w:rsid w:val="00400040"/>
    <w:rsid w:val="0040084E"/>
    <w:rsid w:val="00400DFA"/>
    <w:rsid w:val="00404C68"/>
    <w:rsid w:val="004071A8"/>
    <w:rsid w:val="00407211"/>
    <w:rsid w:val="004101EB"/>
    <w:rsid w:val="00414234"/>
    <w:rsid w:val="00420010"/>
    <w:rsid w:val="0042158E"/>
    <w:rsid w:val="00422738"/>
    <w:rsid w:val="00423342"/>
    <w:rsid w:val="004267E3"/>
    <w:rsid w:val="00433024"/>
    <w:rsid w:val="0043305B"/>
    <w:rsid w:val="00434B86"/>
    <w:rsid w:val="004404F9"/>
    <w:rsid w:val="00444FC2"/>
    <w:rsid w:val="00445C4B"/>
    <w:rsid w:val="00452088"/>
    <w:rsid w:val="004550D3"/>
    <w:rsid w:val="004556E1"/>
    <w:rsid w:val="00460929"/>
    <w:rsid w:val="00461A26"/>
    <w:rsid w:val="00473D33"/>
    <w:rsid w:val="0047512B"/>
    <w:rsid w:val="0048546C"/>
    <w:rsid w:val="00486056"/>
    <w:rsid w:val="00486715"/>
    <w:rsid w:val="0048722B"/>
    <w:rsid w:val="004921AB"/>
    <w:rsid w:val="00496243"/>
    <w:rsid w:val="004A25EF"/>
    <w:rsid w:val="004B0F0E"/>
    <w:rsid w:val="004B71DE"/>
    <w:rsid w:val="004C0FC2"/>
    <w:rsid w:val="004C1562"/>
    <w:rsid w:val="004C71FD"/>
    <w:rsid w:val="004F0E2C"/>
    <w:rsid w:val="004F1362"/>
    <w:rsid w:val="004F5BD6"/>
    <w:rsid w:val="00504BF1"/>
    <w:rsid w:val="00506294"/>
    <w:rsid w:val="00511213"/>
    <w:rsid w:val="005324EA"/>
    <w:rsid w:val="00533BF3"/>
    <w:rsid w:val="005413FF"/>
    <w:rsid w:val="00552CF0"/>
    <w:rsid w:val="0056135F"/>
    <w:rsid w:val="005623ED"/>
    <w:rsid w:val="0056439B"/>
    <w:rsid w:val="005732F4"/>
    <w:rsid w:val="00574D05"/>
    <w:rsid w:val="0057504A"/>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F1CCA"/>
    <w:rsid w:val="005F3FD6"/>
    <w:rsid w:val="005F4FD5"/>
    <w:rsid w:val="00610661"/>
    <w:rsid w:val="00612D90"/>
    <w:rsid w:val="0061404E"/>
    <w:rsid w:val="006214D6"/>
    <w:rsid w:val="00625465"/>
    <w:rsid w:val="00632431"/>
    <w:rsid w:val="0064319E"/>
    <w:rsid w:val="00646424"/>
    <w:rsid w:val="006514C1"/>
    <w:rsid w:val="00651EDB"/>
    <w:rsid w:val="00653FDE"/>
    <w:rsid w:val="006549BC"/>
    <w:rsid w:val="006668C8"/>
    <w:rsid w:val="0067140A"/>
    <w:rsid w:val="006722D7"/>
    <w:rsid w:val="00673C76"/>
    <w:rsid w:val="0068140F"/>
    <w:rsid w:val="006848DB"/>
    <w:rsid w:val="006959FE"/>
    <w:rsid w:val="00695A1F"/>
    <w:rsid w:val="00696574"/>
    <w:rsid w:val="006A0184"/>
    <w:rsid w:val="006A493A"/>
    <w:rsid w:val="006A7A40"/>
    <w:rsid w:val="006B3CA9"/>
    <w:rsid w:val="006C160E"/>
    <w:rsid w:val="006C1B1F"/>
    <w:rsid w:val="006E54F2"/>
    <w:rsid w:val="006E6314"/>
    <w:rsid w:val="006F4DAF"/>
    <w:rsid w:val="006F5F0E"/>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97A74"/>
    <w:rsid w:val="007A1FE7"/>
    <w:rsid w:val="007A48B1"/>
    <w:rsid w:val="007A7E38"/>
    <w:rsid w:val="007B28F7"/>
    <w:rsid w:val="007B340F"/>
    <w:rsid w:val="007B44F2"/>
    <w:rsid w:val="007C0338"/>
    <w:rsid w:val="007C48CD"/>
    <w:rsid w:val="007C67C3"/>
    <w:rsid w:val="007D267C"/>
    <w:rsid w:val="007F672F"/>
    <w:rsid w:val="008023C5"/>
    <w:rsid w:val="00810847"/>
    <w:rsid w:val="00813B44"/>
    <w:rsid w:val="00816B57"/>
    <w:rsid w:val="00831976"/>
    <w:rsid w:val="00832E72"/>
    <w:rsid w:val="0083501A"/>
    <w:rsid w:val="008475AA"/>
    <w:rsid w:val="00847E54"/>
    <w:rsid w:val="008537CB"/>
    <w:rsid w:val="00853C55"/>
    <w:rsid w:val="00854ACE"/>
    <w:rsid w:val="0086096C"/>
    <w:rsid w:val="00860F85"/>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C2602"/>
    <w:rsid w:val="008C3755"/>
    <w:rsid w:val="008C4AF5"/>
    <w:rsid w:val="008D0A06"/>
    <w:rsid w:val="008D68BD"/>
    <w:rsid w:val="008D7749"/>
    <w:rsid w:val="008E092C"/>
    <w:rsid w:val="008E25B0"/>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5695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26A"/>
    <w:rsid w:val="009B5F45"/>
    <w:rsid w:val="009C08DD"/>
    <w:rsid w:val="009C0B06"/>
    <w:rsid w:val="009C1116"/>
    <w:rsid w:val="009D0FA3"/>
    <w:rsid w:val="009E2E84"/>
    <w:rsid w:val="009E3F95"/>
    <w:rsid w:val="009F6125"/>
    <w:rsid w:val="00A0498E"/>
    <w:rsid w:val="00A050D6"/>
    <w:rsid w:val="00A062D6"/>
    <w:rsid w:val="00A06D29"/>
    <w:rsid w:val="00A13F4F"/>
    <w:rsid w:val="00A16EFE"/>
    <w:rsid w:val="00A17FD2"/>
    <w:rsid w:val="00A21210"/>
    <w:rsid w:val="00A264E2"/>
    <w:rsid w:val="00A3145F"/>
    <w:rsid w:val="00A32007"/>
    <w:rsid w:val="00A32918"/>
    <w:rsid w:val="00A36A1D"/>
    <w:rsid w:val="00A47650"/>
    <w:rsid w:val="00A70C42"/>
    <w:rsid w:val="00A7140A"/>
    <w:rsid w:val="00A71F3F"/>
    <w:rsid w:val="00A72A96"/>
    <w:rsid w:val="00A74F4A"/>
    <w:rsid w:val="00A764FA"/>
    <w:rsid w:val="00A8301B"/>
    <w:rsid w:val="00A833D9"/>
    <w:rsid w:val="00A8435A"/>
    <w:rsid w:val="00A8684B"/>
    <w:rsid w:val="00A91D84"/>
    <w:rsid w:val="00A9481E"/>
    <w:rsid w:val="00A977DC"/>
    <w:rsid w:val="00AA36F9"/>
    <w:rsid w:val="00AA537C"/>
    <w:rsid w:val="00AB18F1"/>
    <w:rsid w:val="00AB3C5D"/>
    <w:rsid w:val="00AC4739"/>
    <w:rsid w:val="00AC4C45"/>
    <w:rsid w:val="00AC6F81"/>
    <w:rsid w:val="00AD33F9"/>
    <w:rsid w:val="00AD404B"/>
    <w:rsid w:val="00AD427C"/>
    <w:rsid w:val="00AD4D07"/>
    <w:rsid w:val="00AE79A6"/>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77DB"/>
    <w:rsid w:val="00B83CC6"/>
    <w:rsid w:val="00B90E05"/>
    <w:rsid w:val="00B9183E"/>
    <w:rsid w:val="00B92DEB"/>
    <w:rsid w:val="00BB11CA"/>
    <w:rsid w:val="00BB5625"/>
    <w:rsid w:val="00BD1320"/>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C3A"/>
    <w:rsid w:val="00C34D45"/>
    <w:rsid w:val="00C378F1"/>
    <w:rsid w:val="00C5729D"/>
    <w:rsid w:val="00C6050E"/>
    <w:rsid w:val="00C710B3"/>
    <w:rsid w:val="00C73BEC"/>
    <w:rsid w:val="00C7684C"/>
    <w:rsid w:val="00C77935"/>
    <w:rsid w:val="00C77944"/>
    <w:rsid w:val="00C85638"/>
    <w:rsid w:val="00C91F8F"/>
    <w:rsid w:val="00CA21FF"/>
    <w:rsid w:val="00CB1709"/>
    <w:rsid w:val="00CB3FA4"/>
    <w:rsid w:val="00CC41C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1163"/>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D7781"/>
    <w:rsid w:val="00DE1B02"/>
    <w:rsid w:val="00DE6ADF"/>
    <w:rsid w:val="00DE6D07"/>
    <w:rsid w:val="00DE7B03"/>
    <w:rsid w:val="00DF18B5"/>
    <w:rsid w:val="00DF1B22"/>
    <w:rsid w:val="00DF235F"/>
    <w:rsid w:val="00DF34EA"/>
    <w:rsid w:val="00DF4EC9"/>
    <w:rsid w:val="00E04D3F"/>
    <w:rsid w:val="00E068D4"/>
    <w:rsid w:val="00E133C0"/>
    <w:rsid w:val="00E14D86"/>
    <w:rsid w:val="00E213FD"/>
    <w:rsid w:val="00E2144C"/>
    <w:rsid w:val="00E3177E"/>
    <w:rsid w:val="00E513E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9FF"/>
    <w:rsid w:val="00F46EC5"/>
    <w:rsid w:val="00F51D00"/>
    <w:rsid w:val="00F53457"/>
    <w:rsid w:val="00F60C6C"/>
    <w:rsid w:val="00F6102A"/>
    <w:rsid w:val="00F61E06"/>
    <w:rsid w:val="00F61F2F"/>
    <w:rsid w:val="00F62C5F"/>
    <w:rsid w:val="00F76A1F"/>
    <w:rsid w:val="00F84C78"/>
    <w:rsid w:val="00F84D1D"/>
    <w:rsid w:val="00F8576F"/>
    <w:rsid w:val="00F97B82"/>
    <w:rsid w:val="00FA01EE"/>
    <w:rsid w:val="00FA151F"/>
    <w:rsid w:val="00FA2590"/>
    <w:rsid w:val="00FA6DA9"/>
    <w:rsid w:val="00FC2231"/>
    <w:rsid w:val="00FC297A"/>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 w:type="table" w:styleId="a9">
    <w:name w:val="Table Grid"/>
    <w:basedOn w:val="a1"/>
    <w:uiPriority w:val="99"/>
    <w:unhideWhenUsed/>
    <w:rsid w:val="00CC41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12</Pages>
  <Words>607</Words>
  <Characters>3460</Characters>
  <Application>Microsoft Office Word</Application>
  <DocSecurity>0</DocSecurity>
  <PresentationFormat/>
  <Lines>28</Lines>
  <Paragraphs>8</Paragraphs>
  <Slides>0</Slides>
  <Notes>0</Notes>
  <HiddenSlides>0</HiddenSlides>
  <MMClips>0</MMClips>
  <ScaleCrop>false</ScaleCrop>
  <Manager/>
  <Company>Lenovo (Beijing) Limited</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1496</cp:revision>
  <cp:lastPrinted>2017-06-14T06:06:00Z</cp:lastPrinted>
  <dcterms:created xsi:type="dcterms:W3CDTF">2015-08-20T01:32:00Z</dcterms:created>
  <dcterms:modified xsi:type="dcterms:W3CDTF">2017-06-14T06:06:00Z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