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line="360" w:lineRule="auto"/>
        <w:jc w:val="center"/>
        <w:rPr>
          <w:rFonts w:ascii="仿宋_GB2312" w:eastAsia="仿宋_GB2312"/>
          <w:b/>
          <w:bCs/>
          <w:sz w:val="32"/>
          <w:szCs w:val="32"/>
        </w:rPr>
      </w:pPr>
      <w:r>
        <w:rPr>
          <w:rFonts w:hint="eastAsia" w:ascii="仿宋_GB2312" w:eastAsia="仿宋_GB2312"/>
          <w:b/>
          <w:bCs/>
          <w:sz w:val="32"/>
          <w:szCs w:val="32"/>
        </w:rPr>
        <w:t>浙江省医疗器械检验研究院</w:t>
      </w:r>
    </w:p>
    <w:p>
      <w:pPr>
        <w:spacing w:before="100" w:beforeAutospacing="1" w:after="100" w:afterAutospacing="1" w:line="360" w:lineRule="auto"/>
        <w:jc w:val="center"/>
        <w:rPr>
          <w:rFonts w:ascii="仿宋_GB2312" w:eastAsia="仿宋_GB2312"/>
          <w:b/>
          <w:bCs/>
          <w:sz w:val="32"/>
          <w:szCs w:val="32"/>
        </w:rPr>
      </w:pPr>
      <w:r>
        <w:rPr>
          <w:rFonts w:hint="eastAsia" w:ascii="仿宋_GB2312" w:eastAsia="仿宋_GB2312"/>
          <w:b/>
          <w:bCs/>
          <w:sz w:val="32"/>
          <w:szCs w:val="32"/>
        </w:rPr>
        <w:t>采购公告</w:t>
      </w:r>
    </w:p>
    <w:p>
      <w:pPr>
        <w:spacing w:before="100" w:beforeAutospacing="1" w:after="100" w:afterAutospacing="1" w:line="360" w:lineRule="auto"/>
        <w:ind w:firstLine="3196" w:firstLineChars="995"/>
        <w:rPr>
          <w:rFonts w:ascii="仿宋_GB2312" w:eastAsia="仿宋_GB2312"/>
          <w:b/>
          <w:sz w:val="32"/>
          <w:szCs w:val="32"/>
        </w:rPr>
      </w:pPr>
      <w:r>
        <w:rPr>
          <w:rFonts w:hint="eastAsia" w:ascii="仿宋_GB2312" w:eastAsia="仿宋_GB2312"/>
          <w:b/>
          <w:sz w:val="32"/>
          <w:szCs w:val="32"/>
        </w:rPr>
        <w:t>采购编号：MDST-2024-01</w:t>
      </w:r>
    </w:p>
    <w:p>
      <w:pPr>
        <w:spacing w:before="100" w:beforeAutospacing="1" w:after="100" w:afterAutospacing="1" w:line="360" w:lineRule="auto"/>
        <w:jc w:val="center"/>
        <w:rPr>
          <w:rFonts w:ascii="仿宋_GB2312" w:eastAsia="仿宋_GB2312"/>
          <w:sz w:val="32"/>
          <w:szCs w:val="32"/>
        </w:rPr>
      </w:pPr>
    </w:p>
    <w:p>
      <w:pPr>
        <w:spacing w:before="100" w:beforeAutospacing="1" w:after="100" w:afterAutospacing="1" w:line="360" w:lineRule="auto"/>
        <w:jc w:val="center"/>
        <w:rPr>
          <w:rFonts w:ascii="仿宋_GB2312" w:eastAsia="仿宋_GB2312"/>
          <w:sz w:val="32"/>
          <w:szCs w:val="32"/>
        </w:rPr>
      </w:pPr>
    </w:p>
    <w:p>
      <w:pPr>
        <w:spacing w:before="100" w:beforeAutospacing="1" w:after="100" w:afterAutospacing="1" w:line="360" w:lineRule="auto"/>
        <w:jc w:val="center"/>
        <w:rPr>
          <w:rFonts w:ascii="仿宋_GB2312" w:eastAsia="仿宋_GB2312"/>
          <w:sz w:val="32"/>
          <w:szCs w:val="32"/>
        </w:rPr>
      </w:pPr>
    </w:p>
    <w:p>
      <w:pPr>
        <w:spacing w:before="100" w:beforeAutospacing="1" w:after="100" w:afterAutospacing="1" w:line="360" w:lineRule="auto"/>
        <w:jc w:val="center"/>
        <w:rPr>
          <w:rFonts w:ascii="仿宋_GB2312" w:eastAsia="仿宋_GB2312"/>
          <w:sz w:val="32"/>
          <w:szCs w:val="32"/>
        </w:rPr>
      </w:pPr>
    </w:p>
    <w:p>
      <w:pPr>
        <w:spacing w:before="100" w:beforeAutospacing="1" w:after="100" w:afterAutospacing="1" w:line="360" w:lineRule="auto"/>
        <w:jc w:val="center"/>
        <w:rPr>
          <w:rFonts w:ascii="仿宋_GB2312" w:eastAsia="仿宋_GB2312"/>
          <w:sz w:val="32"/>
          <w:szCs w:val="32"/>
        </w:rPr>
      </w:pPr>
    </w:p>
    <w:p>
      <w:pPr>
        <w:spacing w:before="100" w:beforeAutospacing="1" w:after="100" w:afterAutospacing="1" w:line="360" w:lineRule="auto"/>
        <w:ind w:firstLine="1606" w:firstLineChars="500"/>
        <w:rPr>
          <w:rFonts w:ascii="仿宋_GB2312" w:eastAsia="仿宋_GB2312"/>
          <w:b/>
          <w:bCs/>
          <w:sz w:val="32"/>
          <w:szCs w:val="32"/>
        </w:rPr>
      </w:pPr>
      <w:r>
        <w:rPr>
          <w:rFonts w:hint="eastAsia" w:ascii="仿宋_GB2312" w:eastAsia="仿宋_GB2312"/>
          <w:b/>
          <w:bCs/>
          <w:sz w:val="32"/>
          <w:szCs w:val="32"/>
        </w:rPr>
        <w:t>项目名称：临平分院三楼实验室新增吊顶等工程项目</w:t>
      </w:r>
    </w:p>
    <w:p>
      <w:pPr>
        <w:spacing w:before="100" w:beforeAutospacing="1" w:after="100" w:afterAutospacing="1" w:line="360" w:lineRule="auto"/>
        <w:ind w:firstLine="1606" w:firstLineChars="500"/>
        <w:rPr>
          <w:rFonts w:ascii="仿宋_GB2312" w:eastAsia="仿宋_GB2312"/>
          <w:b/>
          <w:bCs/>
          <w:sz w:val="32"/>
          <w:szCs w:val="32"/>
        </w:rPr>
      </w:pPr>
      <w:r>
        <w:rPr>
          <w:rFonts w:hint="eastAsia" w:ascii="仿宋_GB2312" w:eastAsia="仿宋_GB2312"/>
          <w:b/>
          <w:bCs/>
          <w:sz w:val="32"/>
          <w:szCs w:val="32"/>
        </w:rPr>
        <w:t>采购单位：浙江省医疗器械检验研究院</w:t>
      </w:r>
    </w:p>
    <w:p>
      <w:pPr>
        <w:spacing w:before="100" w:beforeAutospacing="1" w:after="100" w:afterAutospacing="1" w:line="360" w:lineRule="auto"/>
        <w:rPr>
          <w:rFonts w:ascii="仿宋_GB2312" w:eastAsia="仿宋_GB2312"/>
          <w:b/>
          <w:bCs/>
          <w:sz w:val="32"/>
          <w:szCs w:val="32"/>
          <w:highlight w:val="red"/>
        </w:rPr>
      </w:pPr>
      <w:r>
        <w:rPr>
          <w:rFonts w:hint="eastAsia" w:ascii="仿宋_GB2312" w:eastAsia="仿宋_GB2312"/>
          <w:b/>
          <w:bCs/>
          <w:sz w:val="32"/>
          <w:szCs w:val="32"/>
        </w:rPr>
        <w:t xml:space="preserve">       </w:t>
      </w:r>
      <w:r>
        <w:rPr>
          <w:rFonts w:hint="eastAsia" w:ascii="仿宋_GB2312" w:eastAsia="仿宋_GB2312"/>
          <w:b/>
          <w:bCs/>
          <w:sz w:val="32"/>
          <w:szCs w:val="32"/>
          <w:highlight w:val="none"/>
        </w:rPr>
        <w:t xml:space="preserve">   日    期：2024年</w:t>
      </w:r>
      <w:r>
        <w:rPr>
          <w:rFonts w:hint="eastAsia" w:ascii="仿宋_GB2312" w:eastAsia="仿宋_GB2312"/>
          <w:b/>
          <w:bCs/>
          <w:sz w:val="32"/>
          <w:szCs w:val="32"/>
          <w:highlight w:val="none"/>
          <w:lang w:val="en-US" w:eastAsia="zh-CN"/>
        </w:rPr>
        <w:t>6</w:t>
      </w:r>
      <w:r>
        <w:rPr>
          <w:rFonts w:hint="eastAsia" w:ascii="仿宋_GB2312" w:eastAsia="仿宋_GB2312"/>
          <w:b/>
          <w:bCs/>
          <w:sz w:val="32"/>
          <w:szCs w:val="32"/>
          <w:highlight w:val="none"/>
        </w:rPr>
        <w:t>月</w:t>
      </w:r>
      <w:r>
        <w:rPr>
          <w:rFonts w:hint="eastAsia" w:ascii="仿宋_GB2312" w:eastAsia="仿宋_GB2312"/>
          <w:b/>
          <w:bCs/>
          <w:sz w:val="32"/>
          <w:szCs w:val="32"/>
          <w:highlight w:val="none"/>
          <w:lang w:val="en-US" w:eastAsia="zh-CN"/>
        </w:rPr>
        <w:t>28</w:t>
      </w:r>
      <w:r>
        <w:rPr>
          <w:rFonts w:hint="eastAsia" w:ascii="仿宋_GB2312" w:eastAsia="仿宋_GB2312"/>
          <w:b/>
          <w:bCs/>
          <w:sz w:val="32"/>
          <w:szCs w:val="32"/>
          <w:highlight w:val="none"/>
        </w:rPr>
        <w:t>日</w:t>
      </w:r>
    </w:p>
    <w:p>
      <w:pPr>
        <w:spacing w:line="0" w:lineRule="atLeast"/>
        <w:jc w:val="center"/>
        <w:rPr>
          <w:rFonts w:ascii="仿宋_GB2312" w:eastAsia="仿宋_GB2312"/>
          <w:b/>
          <w:sz w:val="32"/>
          <w:szCs w:val="32"/>
        </w:rPr>
      </w:pPr>
    </w:p>
    <w:p>
      <w:pPr>
        <w:spacing w:line="440" w:lineRule="exact"/>
        <w:jc w:val="center"/>
        <w:rPr>
          <w:rFonts w:ascii="仿宋_GB2312" w:eastAsia="仿宋_GB2312"/>
          <w:b/>
          <w:sz w:val="32"/>
          <w:szCs w:val="32"/>
        </w:rPr>
      </w:pPr>
    </w:p>
    <w:p>
      <w:pPr>
        <w:spacing w:line="440" w:lineRule="exact"/>
        <w:jc w:val="center"/>
        <w:rPr>
          <w:rFonts w:ascii="仿宋_GB2312" w:eastAsia="仿宋_GB2312"/>
          <w:b/>
          <w:sz w:val="32"/>
          <w:szCs w:val="32"/>
        </w:rPr>
      </w:pPr>
    </w:p>
    <w:p>
      <w:pPr>
        <w:spacing w:line="440" w:lineRule="exact"/>
        <w:jc w:val="center"/>
        <w:rPr>
          <w:rFonts w:ascii="仿宋_GB2312" w:eastAsia="仿宋_GB2312"/>
          <w:b/>
          <w:sz w:val="32"/>
          <w:szCs w:val="32"/>
        </w:rPr>
      </w:pPr>
    </w:p>
    <w:p>
      <w:pPr>
        <w:spacing w:line="440" w:lineRule="exact"/>
        <w:jc w:val="center"/>
        <w:rPr>
          <w:rFonts w:ascii="仿宋_GB2312" w:eastAsia="仿宋_GB2312"/>
          <w:b/>
          <w:sz w:val="32"/>
          <w:szCs w:val="32"/>
        </w:rPr>
      </w:pPr>
    </w:p>
    <w:p>
      <w:pPr>
        <w:spacing w:line="440" w:lineRule="exact"/>
        <w:jc w:val="center"/>
        <w:rPr>
          <w:rFonts w:ascii="仿宋_GB2312" w:eastAsia="仿宋_GB2312"/>
          <w:b/>
          <w:sz w:val="32"/>
          <w:szCs w:val="32"/>
        </w:rPr>
      </w:pPr>
    </w:p>
    <w:p>
      <w:pPr>
        <w:spacing w:line="440" w:lineRule="exact"/>
        <w:jc w:val="center"/>
        <w:rPr>
          <w:rFonts w:ascii="仿宋_GB2312" w:eastAsia="仿宋_GB2312"/>
          <w:b/>
          <w:sz w:val="32"/>
          <w:szCs w:val="32"/>
        </w:rPr>
      </w:pPr>
    </w:p>
    <w:p>
      <w:pPr>
        <w:spacing w:line="440" w:lineRule="exact"/>
        <w:jc w:val="center"/>
        <w:rPr>
          <w:rFonts w:ascii="仿宋_GB2312" w:eastAsia="仿宋_GB2312"/>
          <w:b/>
          <w:sz w:val="32"/>
          <w:szCs w:val="32"/>
        </w:rPr>
      </w:pPr>
    </w:p>
    <w:p>
      <w:pPr>
        <w:spacing w:line="440" w:lineRule="exact"/>
        <w:jc w:val="center"/>
        <w:rPr>
          <w:rFonts w:ascii="仿宋_GB2312" w:eastAsia="仿宋_GB2312"/>
          <w:b/>
          <w:sz w:val="24"/>
        </w:rPr>
      </w:pPr>
    </w:p>
    <w:p>
      <w:pPr>
        <w:spacing w:line="480" w:lineRule="auto"/>
        <w:jc w:val="center"/>
        <w:rPr>
          <w:rFonts w:ascii="仿宋_GB2312" w:hAnsi="宋体" w:eastAsia="仿宋_GB2312"/>
          <w:b/>
          <w:sz w:val="24"/>
        </w:rPr>
      </w:pPr>
    </w:p>
    <w:p>
      <w:pPr>
        <w:spacing w:line="480" w:lineRule="auto"/>
        <w:jc w:val="center"/>
        <w:rPr>
          <w:rFonts w:ascii="仿宋_GB2312" w:hAnsi="宋体" w:eastAsia="仿宋_GB2312"/>
          <w:b/>
          <w:sz w:val="24"/>
        </w:rPr>
      </w:pPr>
      <w:r>
        <w:rPr>
          <w:rFonts w:hint="eastAsia" w:ascii="仿宋_GB2312" w:hAnsi="宋体" w:eastAsia="仿宋_GB2312"/>
          <w:b/>
          <w:sz w:val="24"/>
        </w:rPr>
        <w:t>采购公告目录</w:t>
      </w:r>
    </w:p>
    <w:p>
      <w:pPr>
        <w:spacing w:line="480" w:lineRule="auto"/>
        <w:rPr>
          <w:rFonts w:ascii="仿宋_GB2312" w:eastAsia="仿宋_GB2312"/>
          <w:sz w:val="24"/>
        </w:rPr>
      </w:pPr>
    </w:p>
    <w:p>
      <w:pPr>
        <w:spacing w:line="720" w:lineRule="auto"/>
        <w:rPr>
          <w:rFonts w:ascii="仿宋_GB2312" w:eastAsia="仿宋_GB2312"/>
          <w:b/>
          <w:sz w:val="24"/>
        </w:rPr>
      </w:pPr>
      <w:r>
        <w:rPr>
          <w:rFonts w:hint="eastAsia" w:ascii="仿宋_GB2312" w:eastAsia="仿宋_GB2312"/>
          <w:b/>
          <w:sz w:val="24"/>
        </w:rPr>
        <w:fldChar w:fldCharType="begin"/>
      </w:r>
      <w:r>
        <w:rPr>
          <w:rFonts w:hint="eastAsia" w:ascii="仿宋_GB2312" w:eastAsia="仿宋_GB2312"/>
          <w:b/>
          <w:sz w:val="24"/>
        </w:rPr>
        <w:instrText xml:space="preserve"> TOC \o "1-3" \h \z \u </w:instrText>
      </w:r>
      <w:r>
        <w:rPr>
          <w:rFonts w:hint="eastAsia" w:ascii="仿宋_GB2312" w:eastAsia="仿宋_GB2312"/>
          <w:b/>
          <w:sz w:val="24"/>
        </w:rPr>
        <w:fldChar w:fldCharType="separate"/>
      </w:r>
      <w:r>
        <w:rPr>
          <w:rFonts w:hint="eastAsia" w:ascii="仿宋_GB2312" w:eastAsia="仿宋_GB2312"/>
          <w:b/>
          <w:sz w:val="24"/>
        </w:rPr>
        <w:t>第一部分   公告</w:t>
      </w:r>
    </w:p>
    <w:p>
      <w:pPr>
        <w:spacing w:line="720" w:lineRule="auto"/>
        <w:rPr>
          <w:rFonts w:ascii="仿宋_GB2312" w:eastAsia="仿宋_GB2312"/>
          <w:b/>
          <w:sz w:val="24"/>
        </w:rPr>
      </w:pPr>
      <w:r>
        <w:rPr>
          <w:rFonts w:hint="eastAsia" w:ascii="仿宋_GB2312" w:eastAsia="仿宋_GB2312"/>
          <w:b/>
          <w:sz w:val="24"/>
        </w:rPr>
        <w:t>第二部分   须知</w:t>
      </w:r>
    </w:p>
    <w:p>
      <w:pPr>
        <w:spacing w:line="720" w:lineRule="auto"/>
        <w:rPr>
          <w:rFonts w:ascii="仿宋_GB2312" w:eastAsia="仿宋_GB2312"/>
          <w:b/>
          <w:sz w:val="24"/>
        </w:rPr>
      </w:pPr>
      <w:r>
        <w:rPr>
          <w:rFonts w:hint="eastAsia" w:ascii="仿宋_GB2312" w:eastAsia="仿宋_GB2312"/>
          <w:b/>
          <w:sz w:val="24"/>
        </w:rPr>
        <w:t>第三部分   响应文件（格式）附表</w:t>
      </w:r>
    </w:p>
    <w:p>
      <w:pPr>
        <w:spacing w:line="440" w:lineRule="exact"/>
        <w:jc w:val="center"/>
        <w:rPr>
          <w:rFonts w:ascii="仿宋_GB2312" w:eastAsia="仿宋_GB2312"/>
          <w:sz w:val="24"/>
        </w:rPr>
      </w:pPr>
      <w:r>
        <w:rPr>
          <w:rFonts w:hint="eastAsia" w:ascii="仿宋_GB2312" w:eastAsia="仿宋_GB2312"/>
          <w:sz w:val="24"/>
        </w:rPr>
        <w:fldChar w:fldCharType="end"/>
      </w:r>
    </w:p>
    <w:p>
      <w:pPr>
        <w:spacing w:line="440" w:lineRule="exact"/>
        <w:jc w:val="center"/>
        <w:rPr>
          <w:rFonts w:ascii="仿宋_GB2312" w:eastAsia="仿宋_GB2312"/>
          <w:sz w:val="24"/>
        </w:rPr>
      </w:pPr>
    </w:p>
    <w:p>
      <w:pPr>
        <w:spacing w:line="440" w:lineRule="exact"/>
        <w:jc w:val="center"/>
        <w:rPr>
          <w:rFonts w:ascii="仿宋_GB2312" w:eastAsia="仿宋_GB2312"/>
          <w:sz w:val="24"/>
        </w:rPr>
      </w:pPr>
    </w:p>
    <w:p>
      <w:pPr>
        <w:spacing w:line="440" w:lineRule="exact"/>
        <w:jc w:val="center"/>
        <w:rPr>
          <w:rFonts w:ascii="仿宋_GB2312" w:eastAsia="仿宋_GB2312"/>
          <w:sz w:val="24"/>
        </w:rPr>
      </w:pPr>
    </w:p>
    <w:p>
      <w:pPr>
        <w:spacing w:line="440" w:lineRule="exact"/>
        <w:jc w:val="center"/>
        <w:rPr>
          <w:rFonts w:ascii="仿宋_GB2312" w:eastAsia="仿宋_GB2312"/>
          <w:sz w:val="24"/>
        </w:rPr>
      </w:pPr>
    </w:p>
    <w:p>
      <w:pPr>
        <w:spacing w:line="440" w:lineRule="exact"/>
        <w:jc w:val="center"/>
        <w:rPr>
          <w:rFonts w:ascii="仿宋_GB2312" w:eastAsia="仿宋_GB2312"/>
          <w:sz w:val="24"/>
        </w:rPr>
      </w:pPr>
    </w:p>
    <w:p>
      <w:pPr>
        <w:spacing w:line="440" w:lineRule="exact"/>
        <w:jc w:val="center"/>
        <w:rPr>
          <w:rFonts w:ascii="仿宋_GB2312" w:eastAsia="仿宋_GB2312"/>
          <w:sz w:val="24"/>
        </w:rPr>
      </w:pPr>
    </w:p>
    <w:p>
      <w:pPr>
        <w:spacing w:line="440" w:lineRule="exact"/>
        <w:jc w:val="center"/>
        <w:rPr>
          <w:rFonts w:ascii="仿宋_GB2312" w:eastAsia="仿宋_GB2312"/>
          <w:sz w:val="24"/>
        </w:rPr>
      </w:pPr>
    </w:p>
    <w:p>
      <w:pPr>
        <w:spacing w:line="440" w:lineRule="exact"/>
        <w:jc w:val="center"/>
        <w:rPr>
          <w:rFonts w:ascii="仿宋_GB2312" w:eastAsia="仿宋_GB2312"/>
          <w:sz w:val="24"/>
        </w:rPr>
      </w:pPr>
    </w:p>
    <w:p>
      <w:pPr>
        <w:spacing w:line="440" w:lineRule="exact"/>
        <w:jc w:val="center"/>
        <w:rPr>
          <w:rFonts w:ascii="仿宋_GB2312" w:eastAsia="仿宋_GB2312"/>
          <w:sz w:val="24"/>
        </w:rPr>
      </w:pPr>
    </w:p>
    <w:p>
      <w:pPr>
        <w:spacing w:line="440" w:lineRule="exact"/>
        <w:jc w:val="center"/>
        <w:rPr>
          <w:rFonts w:ascii="仿宋_GB2312" w:eastAsia="仿宋_GB2312"/>
          <w:sz w:val="24"/>
        </w:rPr>
      </w:pPr>
    </w:p>
    <w:p>
      <w:pPr>
        <w:spacing w:line="440" w:lineRule="exact"/>
        <w:jc w:val="center"/>
        <w:rPr>
          <w:rFonts w:ascii="仿宋_GB2312" w:eastAsia="仿宋_GB2312"/>
          <w:sz w:val="24"/>
        </w:rPr>
      </w:pPr>
    </w:p>
    <w:p>
      <w:pPr>
        <w:widowControl/>
        <w:jc w:val="center"/>
        <w:rPr>
          <w:rFonts w:ascii="仿宋_GB2312" w:eastAsia="仿宋_GB2312"/>
          <w:b/>
          <w:sz w:val="24"/>
        </w:rPr>
      </w:pPr>
      <w:r>
        <w:rPr>
          <w:rFonts w:ascii="仿宋_GB2312" w:eastAsia="仿宋_GB2312"/>
          <w:b/>
          <w:sz w:val="24"/>
        </w:rPr>
        <w:br w:type="page"/>
      </w:r>
      <w:r>
        <w:rPr>
          <w:rFonts w:hint="eastAsia" w:ascii="仿宋_GB2312" w:eastAsia="仿宋_GB2312"/>
          <w:b/>
          <w:sz w:val="24"/>
        </w:rPr>
        <w:t>第一部分 公 告</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浙江省医疗器械检验研究院临平分院三楼实验室新增吊顶等工程项目，根据我国《政府采购法》、《招标投标法》等有关法律法规的规定，以及《浙江省医疗器械检验研究院采购管理制度》《浙江省医疗器械检验研究院自行采购项目的采购规定》的相关规定，现公开进行采购，邀请符合资质要求的单位参加此次投标。</w:t>
      </w:r>
    </w:p>
    <w:p>
      <w:pPr>
        <w:numPr>
          <w:ilvl w:val="0"/>
          <w:numId w:val="1"/>
        </w:numPr>
        <w:spacing w:line="440" w:lineRule="exact"/>
        <w:ind w:firstLine="480" w:firstLineChars="200"/>
        <w:rPr>
          <w:rFonts w:ascii="仿宋_GB2312" w:eastAsia="仿宋_GB2312"/>
          <w:color w:val="000000"/>
          <w:sz w:val="24"/>
        </w:rPr>
      </w:pPr>
      <w:r>
        <w:rPr>
          <w:rFonts w:hint="eastAsia" w:ascii="仿宋_GB2312" w:eastAsia="仿宋_GB2312"/>
          <w:color w:val="000000"/>
          <w:sz w:val="24"/>
        </w:rPr>
        <w:t>项目编号：MDST-2024-01</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二</w:t>
      </w:r>
      <w:r>
        <w:rPr>
          <w:rFonts w:hint="eastAsia" w:ascii="仿宋_GB2312" w:eastAsia="仿宋_GB2312"/>
          <w:i/>
          <w:color w:val="000000"/>
          <w:sz w:val="24"/>
        </w:rPr>
        <w:t>、</w:t>
      </w:r>
      <w:r>
        <w:rPr>
          <w:rFonts w:hint="eastAsia" w:ascii="仿宋_GB2312" w:eastAsia="仿宋_GB2312"/>
          <w:color w:val="000000"/>
          <w:sz w:val="24"/>
        </w:rPr>
        <w:t>项目概况（内容、用途、数量、简要技术要求）</w:t>
      </w:r>
      <w:bookmarkStart w:id="0" w:name="B09_招标内容"/>
      <w:bookmarkEnd w:id="0"/>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浙江省医疗器械检验研究院临平分院三楼新装修实验室增加吊顶，包立柱等工程项目施工。</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（一）采购要求：</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具体施工内容见附件一工程量清单，工程质量符合最新国家规定的验收合格及行业新规标准。</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（二）资格要求</w:t>
      </w:r>
    </w:p>
    <w:p>
      <w:pPr>
        <w:spacing w:line="440" w:lineRule="exact"/>
        <w:ind w:firstLine="480" w:firstLineChars="200"/>
        <w:rPr>
          <w:rFonts w:ascii="仿宋_GB2312" w:eastAsia="仿宋_GB2312"/>
          <w:color w:val="000000"/>
          <w:sz w:val="24"/>
        </w:rPr>
      </w:pPr>
      <w:r>
        <w:rPr>
          <w:rFonts w:ascii="仿宋_GB2312" w:eastAsia="仿宋_GB2312"/>
          <w:color w:val="000000"/>
          <w:sz w:val="24"/>
        </w:rPr>
        <w:t> 1.</w:t>
      </w:r>
      <w:r>
        <w:rPr>
          <w:rFonts w:ascii="仿宋_GB2312" w:eastAsia="仿宋_GB2312"/>
          <w:color w:val="000000" w:themeColor="text1"/>
          <w:sz w:val="24"/>
        </w:rPr>
        <w:t>供应商须有独立法人资格，具有有效的企业法人营业执照</w:t>
      </w:r>
      <w:r>
        <w:rPr>
          <w:rFonts w:hint="eastAsia" w:ascii="仿宋_GB2312" w:eastAsia="仿宋_GB2312"/>
          <w:color w:val="000000" w:themeColor="text1"/>
          <w:sz w:val="24"/>
        </w:rPr>
        <w:t>；</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2.</w:t>
      </w:r>
      <w:r>
        <w:rPr>
          <w:rFonts w:ascii="仿宋_GB2312" w:eastAsia="仿宋_GB2312"/>
          <w:color w:val="000000"/>
          <w:sz w:val="24"/>
        </w:rPr>
        <w:t>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_GB2312" w:eastAsia="仿宋_GB2312"/>
          <w:color w:val="000000" w:themeColor="text1"/>
          <w:sz w:val="24"/>
        </w:rPr>
      </w:pPr>
      <w:r>
        <w:rPr>
          <w:rFonts w:hint="eastAsia" w:ascii="仿宋_GB2312" w:eastAsia="仿宋_GB2312"/>
          <w:color w:val="000000" w:themeColor="text1"/>
          <w:sz w:val="24"/>
        </w:rPr>
        <w:t>（三）项目情况</w:t>
      </w:r>
    </w:p>
    <w:p>
      <w:pPr>
        <w:spacing w:line="440" w:lineRule="exact"/>
        <w:ind w:firstLine="480" w:firstLineChars="200"/>
        <w:rPr>
          <w:rFonts w:ascii="仿宋_GB2312" w:eastAsia="仿宋_GB2312"/>
          <w:color w:val="000000" w:themeColor="text1"/>
          <w:sz w:val="24"/>
        </w:rPr>
      </w:pPr>
      <w:r>
        <w:rPr>
          <w:rFonts w:hint="eastAsia" w:ascii="仿宋_GB2312" w:eastAsia="仿宋_GB2312"/>
          <w:color w:val="000000" w:themeColor="text1"/>
          <w:sz w:val="24"/>
        </w:rPr>
        <w:t>1.服务内容</w:t>
      </w:r>
    </w:p>
    <w:p>
      <w:pPr>
        <w:spacing w:line="440" w:lineRule="exact"/>
        <w:ind w:left="479" w:leftChars="228"/>
        <w:rPr>
          <w:rFonts w:hint="eastAsia" w:ascii="仿宋_GB2312" w:eastAsia="仿宋_GB2312"/>
          <w:color w:val="000000"/>
          <w:sz w:val="24"/>
        </w:rPr>
      </w:pPr>
      <w:r>
        <w:rPr>
          <w:rFonts w:hint="eastAsia" w:ascii="仿宋_GB2312" w:eastAsia="仿宋_GB2312"/>
          <w:color w:val="000000"/>
          <w:sz w:val="24"/>
        </w:rPr>
        <w:t>（1）主要工程项目内容如下：</w:t>
      </w:r>
      <w:r>
        <w:rPr>
          <w:rFonts w:hint="eastAsia" w:ascii="仿宋_GB2312" w:eastAsia="仿宋_GB2312"/>
          <w:color w:val="000000"/>
          <w:sz w:val="24"/>
        </w:rPr>
        <w:br w:type="textWrapping"/>
      </w:r>
      <w:r>
        <w:rPr>
          <w:rFonts w:hint="eastAsia" w:ascii="仿宋_GB2312" w:eastAsia="仿宋_GB2312"/>
          <w:color w:val="000000"/>
          <w:sz w:val="24"/>
        </w:rPr>
        <w:t>1、600*600*15㎜矿棉板吊顶824.16㎡。</w:t>
      </w:r>
      <w:r>
        <w:rPr>
          <w:rFonts w:hint="eastAsia" w:ascii="仿宋_GB2312" w:eastAsia="仿宋_GB2312"/>
          <w:color w:val="000000"/>
          <w:sz w:val="24"/>
        </w:rPr>
        <w:br w:type="textWrapping"/>
      </w:r>
      <w:r>
        <w:rPr>
          <w:rFonts w:hint="eastAsia" w:ascii="仿宋_GB2312" w:eastAsia="仿宋_GB2312"/>
          <w:color w:val="000000"/>
          <w:sz w:val="24"/>
        </w:rPr>
        <w:t>2、9.5㎜厚石膏板吊顶307.65㎡含9.5㎜厚石膏板200*200㎜窗帘盒59.68㎡。</w:t>
      </w:r>
      <w:r>
        <w:rPr>
          <w:rFonts w:hint="eastAsia" w:ascii="仿宋_GB2312" w:eastAsia="仿宋_GB2312"/>
          <w:color w:val="000000"/>
          <w:sz w:val="24"/>
        </w:rPr>
        <w:br w:type="textWrapping"/>
      </w:r>
      <w:r>
        <w:rPr>
          <w:rFonts w:hint="eastAsia" w:ascii="仿宋_GB2312" w:eastAsia="仿宋_GB2312"/>
          <w:color w:val="000000"/>
          <w:sz w:val="24"/>
        </w:rPr>
        <w:t>3、700*700*3000㎜立柱9.5㎜厚石膏板包覆共11根，约108㎡。</w:t>
      </w:r>
      <w:r>
        <w:rPr>
          <w:rFonts w:hint="eastAsia" w:ascii="仿宋_GB2312" w:eastAsia="仿宋_GB2312"/>
          <w:color w:val="000000"/>
          <w:sz w:val="24"/>
        </w:rPr>
        <w:br w:type="textWrapping"/>
      </w:r>
      <w:r>
        <w:rPr>
          <w:rFonts w:hint="eastAsia" w:ascii="仿宋_GB2312" w:eastAsia="仿宋_GB2312"/>
          <w:color w:val="000000"/>
          <w:sz w:val="24"/>
        </w:rPr>
        <w:t>4、玻璃门3套，含地弹簧、磁力锁及门把手。</w:t>
      </w:r>
      <w:r>
        <w:rPr>
          <w:rFonts w:hint="eastAsia" w:ascii="仿宋_GB2312" w:eastAsia="仿宋_GB2312"/>
          <w:color w:val="000000"/>
          <w:sz w:val="24"/>
        </w:rPr>
        <w:br w:type="textWrapping"/>
      </w:r>
      <w:r>
        <w:rPr>
          <w:rFonts w:hint="eastAsia" w:ascii="仿宋_GB2312" w:eastAsia="仿宋_GB2312"/>
          <w:color w:val="000000"/>
          <w:sz w:val="24"/>
        </w:rPr>
        <w:t>5、20㎜厚白色人造石，窗台石5.28㎡</w:t>
      </w:r>
    </w:p>
    <w:p>
      <w:pPr>
        <w:pStyle w:val="2"/>
        <w:ind w:left="720" w:hanging="720" w:hangingChars="300"/>
        <w:rPr>
          <w:rFonts w:hint="default" w:eastAsia="仿宋_GB2312"/>
          <w:lang w:val="en-US" w:eastAsia="zh-CN"/>
        </w:rPr>
      </w:pPr>
      <w:r>
        <w:rPr>
          <w:rFonts w:hint="eastAsia"/>
          <w:color w:val="000000"/>
          <w:sz w:val="24"/>
          <w:lang w:val="en-US" w:eastAsia="zh-CN"/>
        </w:rPr>
        <w:t xml:space="preserve">  </w:t>
      </w:r>
      <w:r>
        <w:rPr>
          <w:rFonts w:hint="eastAsia"/>
          <w:color w:val="000000"/>
          <w:sz w:val="24"/>
          <w:highlight w:val="none"/>
          <w:lang w:val="en-US" w:eastAsia="zh-CN"/>
        </w:rPr>
        <w:t xml:space="preserve">  6、涉及吊顶施工的监控、烟感、应急照明、消防排口、新风口等相关设施设备统一下移至吊顶完成面标高。</w:t>
      </w:r>
    </w:p>
    <w:p>
      <w:pPr>
        <w:spacing w:line="440" w:lineRule="exact"/>
        <w:ind w:left="479" w:leftChars="228"/>
        <w:rPr>
          <w:rFonts w:ascii="仿宋_GB2312" w:eastAsia="仿宋_GB2312"/>
          <w:color w:val="000000"/>
          <w:sz w:val="24"/>
        </w:rPr>
      </w:pPr>
      <w:r>
        <w:rPr>
          <w:rFonts w:hint="eastAsia" w:ascii="仿宋_GB2312" w:eastAsia="仿宋_GB2312"/>
          <w:color w:val="000000"/>
          <w:sz w:val="24"/>
        </w:rPr>
        <w:t>（2）施工工艺要求按图纸中（附件二）标注要求施工，未做说明的按行业规范执行；</w:t>
      </w:r>
    </w:p>
    <w:p>
      <w:pPr>
        <w:spacing w:line="440" w:lineRule="exact"/>
        <w:ind w:firstLine="480" w:firstLineChars="200"/>
        <w:rPr>
          <w:rFonts w:ascii="仿宋_GB2312" w:eastAsia="仿宋_GB2312"/>
          <w:color w:val="000000" w:themeColor="text1"/>
          <w:sz w:val="24"/>
        </w:rPr>
      </w:pPr>
      <w:r>
        <w:rPr>
          <w:rFonts w:hint="eastAsia" w:ascii="仿宋_GB2312" w:eastAsia="仿宋_GB2312"/>
          <w:color w:val="000000"/>
          <w:sz w:val="24"/>
        </w:rPr>
        <w:t>2.</w:t>
      </w:r>
      <w:r>
        <w:rPr>
          <w:rFonts w:hint="eastAsia" w:ascii="仿宋_GB2312" w:eastAsia="仿宋_GB2312"/>
          <w:color w:val="000000" w:themeColor="text1"/>
          <w:sz w:val="24"/>
        </w:rPr>
        <w:t>服务标准</w:t>
      </w:r>
    </w:p>
    <w:p>
      <w:pPr>
        <w:spacing w:line="440" w:lineRule="exact"/>
        <w:ind w:firstLine="480" w:firstLineChars="200"/>
        <w:rPr>
          <w:rFonts w:ascii="仿宋_GB2312" w:eastAsia="仿宋_GB2312"/>
          <w:color w:val="000000" w:themeColor="text1"/>
          <w:sz w:val="24"/>
        </w:rPr>
      </w:pPr>
      <w:r>
        <w:rPr>
          <w:rFonts w:hint="eastAsia" w:ascii="仿宋_GB2312" w:eastAsia="仿宋_GB2312"/>
          <w:color w:val="000000" w:themeColor="text1"/>
          <w:sz w:val="24"/>
        </w:rPr>
        <w:t>施工项目作业规范按附件二图纸中要求执行，材料规格及数量按附件一工程量清单内容实施。</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（1）服务方式：供应商安排相关专业班组对工程范围内各项目现场施工；</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（2）服务点：杭州；</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（3）工期要求：自合同签订之日起20个自然日；</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（4）服务进度：根据工程量清单、图纸及工期要求，确定工作计划表和各班组作职责，并根据表内时间完成相关的工作事项，确保项目顺利完成；</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（5）服务质量要求：满足图纸及工程量要求；</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（6）服务质量质保要求：自项目完成竣工验收之日起2年；</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（7）保密要求：</w:t>
      </w:r>
      <w:r>
        <w:rPr>
          <w:rFonts w:hint="eastAsia" w:ascii="仿宋_GB2312" w:eastAsia="仿宋_GB2312"/>
          <w:color w:val="000000" w:themeColor="text1"/>
          <w:sz w:val="24"/>
        </w:rPr>
        <w:t>属于采购方的各种统计资料、影像资料、光盘资料、纸质资料及各种清单等项目信息资料在项目结束时都必须完整完全移交，不得下载、留存、持有和使用采购方的任何信息，违者将承担法律责任。</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（四）收费标准及付款方式</w:t>
      </w:r>
    </w:p>
    <w:p>
      <w:pPr>
        <w:spacing w:line="440" w:lineRule="exact"/>
        <w:ind w:firstLine="480" w:firstLineChars="200"/>
        <w:rPr>
          <w:rFonts w:ascii="仿宋_GB2312" w:eastAsia="仿宋_GB2312"/>
          <w:color w:val="000000" w:themeColor="text1"/>
          <w:sz w:val="24"/>
        </w:rPr>
      </w:pPr>
      <w:r>
        <w:rPr>
          <w:rFonts w:hint="eastAsia" w:ascii="仿宋_GB2312" w:eastAsia="仿宋_GB2312"/>
          <w:color w:val="000000" w:themeColor="text1"/>
          <w:sz w:val="24"/>
        </w:rPr>
        <w:t>1.报价要求：</w:t>
      </w:r>
    </w:p>
    <w:tbl>
      <w:tblPr>
        <w:tblStyle w:val="10"/>
        <w:tblW w:w="10147" w:type="dxa"/>
        <w:jc w:val="center"/>
        <w:tblLayout w:type="fixed"/>
        <w:tblCellMar>
          <w:top w:w="0" w:type="dxa"/>
          <w:left w:w="108" w:type="dxa"/>
          <w:bottom w:w="0" w:type="dxa"/>
          <w:right w:w="108" w:type="dxa"/>
        </w:tblCellMar>
      </w:tblPr>
      <w:tblGrid>
        <w:gridCol w:w="539"/>
        <w:gridCol w:w="1559"/>
        <w:gridCol w:w="1418"/>
        <w:gridCol w:w="708"/>
        <w:gridCol w:w="1418"/>
        <w:gridCol w:w="1134"/>
        <w:gridCol w:w="1559"/>
        <w:gridCol w:w="1812"/>
      </w:tblGrid>
      <w:tr>
        <w:tblPrEx>
          <w:tblCellMar>
            <w:top w:w="0" w:type="dxa"/>
            <w:left w:w="108" w:type="dxa"/>
            <w:bottom w:w="0" w:type="dxa"/>
            <w:right w:w="108" w:type="dxa"/>
          </w:tblCellMar>
        </w:tblPrEx>
        <w:trPr>
          <w:jc w:val="center"/>
        </w:trPr>
        <w:tc>
          <w:tcPr>
            <w:tcW w:w="53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rPr>
            </w:pPr>
            <w:r>
              <w:rPr>
                <w:rFonts w:hint="eastAsia" w:ascii="宋体" w:hAnsi="宋体" w:cs="宋体"/>
                <w:b/>
                <w:bCs/>
                <w:sz w:val="28"/>
                <w:szCs w:val="28"/>
              </w:rPr>
              <w:t>序号</w:t>
            </w:r>
          </w:p>
        </w:tc>
        <w:tc>
          <w:tcPr>
            <w:tcW w:w="155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rPr>
            </w:pPr>
            <w:r>
              <w:rPr>
                <w:rFonts w:hint="eastAsia" w:ascii="宋体" w:hAnsi="宋体" w:cs="宋体"/>
                <w:b/>
                <w:bCs/>
                <w:sz w:val="28"/>
                <w:szCs w:val="28"/>
              </w:rPr>
              <w:t>服务</w:t>
            </w:r>
          </w:p>
          <w:p>
            <w:pPr>
              <w:jc w:val="center"/>
              <w:rPr>
                <w:rFonts w:ascii="宋体" w:hAnsi="宋体" w:cs="宋体"/>
              </w:rPr>
            </w:pPr>
            <w:r>
              <w:rPr>
                <w:rFonts w:hint="eastAsia" w:ascii="宋体" w:hAnsi="宋体" w:cs="宋体"/>
                <w:b/>
                <w:bCs/>
                <w:sz w:val="28"/>
                <w:szCs w:val="28"/>
              </w:rPr>
              <w:t>项目</w:t>
            </w:r>
          </w:p>
        </w:tc>
        <w:tc>
          <w:tcPr>
            <w:tcW w:w="141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rPr>
            </w:pPr>
            <w:r>
              <w:rPr>
                <w:rFonts w:hint="eastAsia" w:ascii="宋体" w:hAnsi="宋体" w:cs="宋体"/>
                <w:b/>
                <w:bCs/>
                <w:sz w:val="28"/>
                <w:szCs w:val="28"/>
              </w:rPr>
              <w:t>服务</w:t>
            </w:r>
          </w:p>
          <w:p>
            <w:pPr>
              <w:jc w:val="center"/>
              <w:rPr>
                <w:rFonts w:ascii="宋体" w:hAnsi="宋体" w:cs="宋体"/>
              </w:rPr>
            </w:pPr>
            <w:r>
              <w:rPr>
                <w:rFonts w:hint="eastAsia" w:ascii="宋体" w:hAnsi="宋体" w:cs="宋体"/>
                <w:b/>
                <w:bCs/>
                <w:sz w:val="28"/>
                <w:szCs w:val="28"/>
              </w:rPr>
              <w:t>内容</w:t>
            </w:r>
          </w:p>
        </w:tc>
        <w:tc>
          <w:tcPr>
            <w:tcW w:w="70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rPr>
            </w:pPr>
            <w:r>
              <w:rPr>
                <w:rFonts w:hint="eastAsia" w:ascii="宋体" w:hAnsi="宋体" w:cs="宋体"/>
                <w:b/>
                <w:bCs/>
                <w:sz w:val="28"/>
                <w:szCs w:val="28"/>
              </w:rPr>
              <w:t>单位</w:t>
            </w:r>
          </w:p>
        </w:tc>
        <w:tc>
          <w:tcPr>
            <w:tcW w:w="141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rPr>
            </w:pPr>
            <w:r>
              <w:rPr>
                <w:rFonts w:hint="eastAsia" w:ascii="宋体" w:hAnsi="宋体" w:cs="宋体"/>
                <w:b/>
                <w:bCs/>
                <w:sz w:val="28"/>
                <w:szCs w:val="28"/>
              </w:rPr>
              <w:t>预算单价（元）</w:t>
            </w:r>
          </w:p>
        </w:tc>
        <w:tc>
          <w:tcPr>
            <w:tcW w:w="113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rPr>
            </w:pPr>
            <w:r>
              <w:rPr>
                <w:rFonts w:hint="eastAsia" w:ascii="宋体" w:hAnsi="宋体" w:cs="宋体"/>
                <w:b/>
                <w:bCs/>
                <w:sz w:val="28"/>
                <w:szCs w:val="28"/>
              </w:rPr>
              <w:t>预估数量</w:t>
            </w:r>
          </w:p>
        </w:tc>
        <w:tc>
          <w:tcPr>
            <w:tcW w:w="155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rPr>
            </w:pPr>
            <w:r>
              <w:rPr>
                <w:rFonts w:hint="eastAsia" w:ascii="宋体" w:hAnsi="宋体" w:cs="宋体"/>
                <w:b/>
                <w:bCs/>
                <w:sz w:val="28"/>
                <w:szCs w:val="28"/>
              </w:rPr>
              <w:t>预算金额（元）</w:t>
            </w:r>
          </w:p>
        </w:tc>
        <w:tc>
          <w:tcPr>
            <w:tcW w:w="1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rPr>
            </w:pPr>
            <w:r>
              <w:rPr>
                <w:rFonts w:hint="eastAsia" w:ascii="宋体" w:hAnsi="宋体" w:cs="宋体"/>
                <w:b/>
                <w:bCs/>
                <w:sz w:val="28"/>
                <w:szCs w:val="28"/>
              </w:rPr>
              <w:t>备注</w:t>
            </w:r>
          </w:p>
        </w:tc>
      </w:tr>
      <w:tr>
        <w:tblPrEx>
          <w:tblCellMar>
            <w:top w:w="0" w:type="dxa"/>
            <w:left w:w="108" w:type="dxa"/>
            <w:bottom w:w="0" w:type="dxa"/>
            <w:right w:w="108" w:type="dxa"/>
          </w:tblCellMar>
        </w:tblPrEx>
        <w:trPr>
          <w:jc w:val="center"/>
        </w:trPr>
        <w:tc>
          <w:tcPr>
            <w:tcW w:w="53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rPr>
            </w:pPr>
            <w:r>
              <w:rPr>
                <w:rFonts w:hint="eastAsia" w:ascii="宋体" w:hAnsi="宋体" w:cs="宋体"/>
                <w:sz w:val="24"/>
              </w:rPr>
              <w:t>1</w:t>
            </w:r>
          </w:p>
        </w:tc>
        <w:tc>
          <w:tcPr>
            <w:tcW w:w="155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sz w:val="24"/>
              </w:rPr>
            </w:pPr>
            <w:r>
              <w:rPr>
                <w:rFonts w:hint="eastAsia" w:ascii="宋体" w:hAnsi="宋体" w:cs="宋体"/>
                <w:sz w:val="24"/>
              </w:rPr>
              <w:t>浙江省医疗器械检验研究院临平分院三楼实验室新增吊顶等工程项目</w:t>
            </w:r>
          </w:p>
        </w:tc>
        <w:tc>
          <w:tcPr>
            <w:tcW w:w="141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sz w:val="24"/>
              </w:rPr>
            </w:pPr>
            <w:r>
              <w:rPr>
                <w:rFonts w:hint="eastAsia" w:ascii="宋体" w:hAnsi="宋体"/>
                <w:color w:val="000000"/>
                <w:sz w:val="24"/>
              </w:rPr>
              <w:t>按要求完成实验室规定区域内吊顶及相关工程施工</w:t>
            </w:r>
          </w:p>
        </w:tc>
        <w:tc>
          <w:tcPr>
            <w:tcW w:w="70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sz w:val="24"/>
              </w:rPr>
            </w:pPr>
            <w:r>
              <w:rPr>
                <w:rFonts w:hint="eastAsia" w:ascii="宋体" w:hAnsi="宋体" w:cs="宋体"/>
                <w:sz w:val="24"/>
              </w:rPr>
              <w:t>项</w:t>
            </w:r>
          </w:p>
        </w:tc>
        <w:tc>
          <w:tcPr>
            <w:tcW w:w="141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sz w:val="24"/>
              </w:rPr>
            </w:pPr>
            <w:r>
              <w:rPr>
                <w:rFonts w:ascii="宋体" w:hAnsi="宋体" w:cs="宋体"/>
                <w:sz w:val="24"/>
              </w:rPr>
              <w:t>197153.56</w:t>
            </w:r>
          </w:p>
        </w:tc>
        <w:tc>
          <w:tcPr>
            <w:tcW w:w="113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sz w:val="24"/>
              </w:rPr>
            </w:pPr>
            <w:r>
              <w:rPr>
                <w:rFonts w:hint="eastAsia" w:ascii="宋体" w:hAnsi="宋体" w:cs="宋体"/>
                <w:sz w:val="24"/>
              </w:rPr>
              <w:t>1</w:t>
            </w:r>
          </w:p>
        </w:tc>
        <w:tc>
          <w:tcPr>
            <w:tcW w:w="155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sz w:val="24"/>
              </w:rPr>
            </w:pPr>
            <w:r>
              <w:rPr>
                <w:rFonts w:ascii="宋体" w:hAnsi="宋体" w:cs="宋体"/>
                <w:sz w:val="24"/>
              </w:rPr>
              <w:t>197153.56</w:t>
            </w:r>
          </w:p>
        </w:tc>
        <w:tc>
          <w:tcPr>
            <w:tcW w:w="1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sz w:val="24"/>
              </w:rPr>
            </w:pPr>
          </w:p>
        </w:tc>
      </w:tr>
      <w:tr>
        <w:tblPrEx>
          <w:tblCellMar>
            <w:top w:w="0" w:type="dxa"/>
            <w:left w:w="108" w:type="dxa"/>
            <w:bottom w:w="0" w:type="dxa"/>
            <w:right w:w="108" w:type="dxa"/>
          </w:tblCellMar>
        </w:tblPrEx>
        <w:trPr>
          <w:trHeight w:val="559" w:hRule="atLeast"/>
          <w:jc w:val="center"/>
        </w:trPr>
        <w:tc>
          <w:tcPr>
            <w:tcW w:w="2098"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highlight w:val="none"/>
              </w:rPr>
            </w:pPr>
            <w:r>
              <w:rPr>
                <w:rFonts w:hint="eastAsia" w:ascii="宋体" w:hAnsi="宋体" w:cs="宋体"/>
                <w:sz w:val="24"/>
                <w:highlight w:val="none"/>
              </w:rPr>
              <w:t>费用预计</w:t>
            </w:r>
          </w:p>
        </w:tc>
        <w:tc>
          <w:tcPr>
            <w:tcW w:w="8049"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cs="宋体"/>
                <w:highlight w:val="none"/>
              </w:rPr>
            </w:pPr>
            <w:r>
              <w:rPr>
                <w:rFonts w:hint="eastAsia" w:ascii="宋体" w:hAnsi="宋体" w:cs="宋体"/>
                <w:sz w:val="24"/>
                <w:highlight w:val="none"/>
              </w:rPr>
              <w:t xml:space="preserve">¥ </w:t>
            </w:r>
            <w:r>
              <w:rPr>
                <w:rFonts w:ascii="宋体" w:hAnsi="宋体" w:cs="宋体"/>
                <w:sz w:val="24"/>
                <w:highlight w:val="none"/>
              </w:rPr>
              <w:t>197153.56</w:t>
            </w:r>
            <w:r>
              <w:rPr>
                <w:rFonts w:hint="eastAsia" w:ascii="宋体" w:hAnsi="宋体" w:cs="宋体"/>
                <w:sz w:val="24"/>
                <w:highlight w:val="none"/>
              </w:rPr>
              <w:t xml:space="preserve">元（壹拾玖万柒仟壹佰伍拾叁元伍角陆分）   </w:t>
            </w:r>
          </w:p>
        </w:tc>
      </w:tr>
    </w:tbl>
    <w:p>
      <w:pPr>
        <w:numPr>
          <w:ilvl w:val="0"/>
          <w:numId w:val="2"/>
        </w:numPr>
        <w:spacing w:line="44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lang w:val="en-US" w:eastAsia="zh-CN"/>
        </w:rPr>
        <w:t>投标</w:t>
      </w:r>
      <w:r>
        <w:rPr>
          <w:rFonts w:hint="eastAsia" w:ascii="仿宋_GB2312" w:eastAsia="仿宋_GB2312"/>
          <w:color w:val="auto"/>
          <w:sz w:val="24"/>
          <w:highlight w:val="none"/>
        </w:rPr>
        <w:t>人</w:t>
      </w:r>
      <w:r>
        <w:rPr>
          <w:rFonts w:hint="eastAsia" w:ascii="仿宋_GB2312" w:eastAsia="仿宋_GB2312"/>
          <w:color w:val="auto"/>
          <w:sz w:val="24"/>
          <w:highlight w:val="none"/>
          <w:lang w:val="en-US" w:eastAsia="zh-CN"/>
        </w:rPr>
        <w:t>提交响应文件前必须安排专人到现场踏勘和招标方技术负责人对接，了解实际施工环境。响应文件中体现</w:t>
      </w:r>
      <w:r>
        <w:rPr>
          <w:rFonts w:hint="eastAsia" w:ascii="仿宋_GB2312" w:eastAsia="仿宋_GB2312"/>
          <w:color w:val="auto"/>
          <w:sz w:val="24"/>
          <w:highlight w:val="none"/>
        </w:rPr>
        <w:t>针对本工程施工的前期进场计划、施工组织措施、进度计划等相关书面文件</w:t>
      </w:r>
      <w:r>
        <w:rPr>
          <w:rFonts w:hint="eastAsia" w:ascii="仿宋_GB2312" w:eastAsia="仿宋_GB2312"/>
          <w:color w:val="auto"/>
          <w:sz w:val="24"/>
          <w:highlight w:val="none"/>
          <w:lang w:eastAsia="zh-CN"/>
        </w:rPr>
        <w:t>。</w:t>
      </w:r>
    </w:p>
    <w:p>
      <w:pPr>
        <w:numPr>
          <w:ilvl w:val="0"/>
          <w:numId w:val="2"/>
        </w:numPr>
        <w:spacing w:line="440" w:lineRule="exact"/>
        <w:ind w:firstLine="480" w:firstLineChars="200"/>
        <w:rPr>
          <w:rFonts w:ascii="仿宋_GB2312" w:eastAsia="仿宋_GB2312"/>
          <w:color w:val="000000"/>
          <w:sz w:val="24"/>
        </w:rPr>
      </w:pPr>
      <w:r>
        <w:rPr>
          <w:rFonts w:hint="eastAsia" w:ascii="仿宋_GB2312" w:eastAsia="仿宋_GB2312"/>
          <w:color w:val="000000"/>
          <w:sz w:val="24"/>
        </w:rPr>
        <w:t>根据工程施工特点和相关技术要求需按规定提交施工人员相关资质证书，如电工上岗证、焊工上岗证等，未提供相关资质证书的，不得进场施工。</w:t>
      </w:r>
    </w:p>
    <w:p>
      <w:pPr>
        <w:pStyle w:val="2"/>
        <w:ind w:firstLine="480" w:firstLineChars="200"/>
        <w:rPr>
          <w:color w:val="000000"/>
          <w:kern w:val="2"/>
          <w:sz w:val="24"/>
          <w:szCs w:val="24"/>
        </w:rPr>
      </w:pPr>
      <w:r>
        <w:rPr>
          <w:rFonts w:hint="eastAsia"/>
          <w:color w:val="000000"/>
          <w:kern w:val="2"/>
          <w:sz w:val="24"/>
          <w:szCs w:val="24"/>
        </w:rPr>
        <w:t>4.</w:t>
      </w:r>
      <w:r>
        <w:rPr>
          <w:rFonts w:hint="eastAsia"/>
          <w:color w:val="000000"/>
          <w:kern w:val="2"/>
          <w:sz w:val="24"/>
          <w:szCs w:val="24"/>
          <w:lang w:val="en-US" w:eastAsia="zh-CN"/>
        </w:rPr>
        <w:t>投标人</w:t>
      </w:r>
      <w:r>
        <w:rPr>
          <w:rFonts w:hint="eastAsia"/>
          <w:color w:val="000000"/>
          <w:kern w:val="2"/>
          <w:sz w:val="24"/>
          <w:szCs w:val="24"/>
        </w:rPr>
        <w:t>应安排专人作为现场施工负责人，施工期间现场负责人按要求组织、协调、管理施工过程中的具体事务，中标方在工程施工期间期间不得随意对现场施工负责人作调整和更换。</w:t>
      </w:r>
    </w:p>
    <w:p>
      <w:pPr>
        <w:spacing w:line="440" w:lineRule="exact"/>
        <w:rPr>
          <w:rFonts w:ascii="仿宋_GB2312" w:eastAsia="仿宋_GB2312"/>
          <w:color w:val="000000"/>
          <w:sz w:val="24"/>
        </w:rPr>
      </w:pPr>
      <w:r>
        <w:rPr>
          <w:rFonts w:hint="eastAsia" w:ascii="仿宋_GB2312" w:eastAsia="仿宋_GB2312"/>
          <w:color w:val="000000"/>
          <w:sz w:val="24"/>
        </w:rPr>
        <w:t>中标方必须现场了解或熟悉施工现场的给排水、建筑结构、电力系统等工程相关的大体概况。</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5.工程施工中涉及隐蔽工程的中标方必须给招标方提交电子版和纸质版两种形式的说明文件或图纸材料。</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6.付款方式：合同签订，项目进场后一周内支付合同价款的50%费用，剩余款项待所有施工事项全部完成并验收合格后，经第三方机构做专业结算审核。甲方依据审核报告中的最终费用支付乙方，结算审核的基本费用及追加费用由乙方与结算审核机构自行结算支付，尾款于甲方收到书面结算审核报告10个工作日内向乙方支付剩余的合同价款。乙方应当开具符合甲方要求的税务发票。</w:t>
      </w:r>
    </w:p>
    <w:p>
      <w:pPr>
        <w:spacing w:line="440" w:lineRule="exact"/>
        <w:ind w:firstLine="480" w:firstLineChars="200"/>
        <w:rPr>
          <w:rFonts w:ascii="仿宋_GB2312" w:eastAsia="仿宋_GB2312"/>
          <w:color w:val="000000"/>
          <w:sz w:val="24"/>
          <w:highlight w:val="none"/>
        </w:rPr>
      </w:pPr>
      <w:r>
        <w:rPr>
          <w:rFonts w:hint="eastAsia" w:ascii="仿宋_GB2312" w:eastAsia="仿宋_GB2312"/>
          <w:color w:val="000000"/>
          <w:sz w:val="24"/>
          <w:highlight w:val="none"/>
        </w:rPr>
        <w:t>三、采购公告的获取时间及地点等</w:t>
      </w:r>
    </w:p>
    <w:p>
      <w:pPr>
        <w:spacing w:line="440" w:lineRule="exact"/>
        <w:ind w:firstLine="480" w:firstLineChars="200"/>
        <w:rPr>
          <w:rFonts w:ascii="仿宋_GB2312" w:eastAsia="仿宋_GB2312"/>
          <w:color w:val="000000"/>
          <w:sz w:val="24"/>
          <w:highlight w:val="none"/>
        </w:rPr>
      </w:pPr>
      <w:r>
        <w:rPr>
          <w:rFonts w:hint="eastAsia" w:ascii="仿宋_GB2312" w:eastAsia="仿宋_GB2312"/>
          <w:color w:val="000000"/>
          <w:sz w:val="24"/>
          <w:highlight w:val="none"/>
        </w:rPr>
        <w:t xml:space="preserve">1．采购公告获取时间：2024年 </w:t>
      </w:r>
      <w:r>
        <w:rPr>
          <w:rFonts w:hint="eastAsia" w:ascii="仿宋_GB2312" w:eastAsia="仿宋_GB2312"/>
          <w:color w:val="000000"/>
          <w:sz w:val="24"/>
          <w:highlight w:val="none"/>
          <w:lang w:val="en-US" w:eastAsia="zh-CN"/>
        </w:rPr>
        <w:t>6</w:t>
      </w:r>
      <w:r>
        <w:rPr>
          <w:rFonts w:hint="eastAsia" w:ascii="仿宋_GB2312" w:eastAsia="仿宋_GB2312"/>
          <w:color w:val="000000"/>
          <w:sz w:val="24"/>
          <w:highlight w:val="none"/>
        </w:rPr>
        <w:t xml:space="preserve">月 </w:t>
      </w:r>
      <w:r>
        <w:rPr>
          <w:rFonts w:hint="eastAsia" w:ascii="仿宋_GB2312" w:eastAsia="仿宋_GB2312"/>
          <w:color w:val="000000"/>
          <w:sz w:val="24"/>
          <w:highlight w:val="none"/>
          <w:lang w:val="en-US" w:eastAsia="zh-CN"/>
        </w:rPr>
        <w:t>28</w:t>
      </w:r>
      <w:r>
        <w:rPr>
          <w:rFonts w:hint="eastAsia" w:ascii="仿宋_GB2312" w:eastAsia="仿宋_GB2312"/>
          <w:color w:val="000000"/>
          <w:sz w:val="24"/>
          <w:highlight w:val="none"/>
        </w:rPr>
        <w:t>日至2024年</w:t>
      </w:r>
      <w:r>
        <w:rPr>
          <w:rFonts w:hint="eastAsia" w:ascii="仿宋_GB2312" w:eastAsia="仿宋_GB2312"/>
          <w:color w:val="000000"/>
          <w:sz w:val="24"/>
          <w:highlight w:val="none"/>
          <w:lang w:val="en-US" w:eastAsia="zh-CN"/>
        </w:rPr>
        <w:t>7</w:t>
      </w:r>
      <w:r>
        <w:rPr>
          <w:rFonts w:hint="eastAsia" w:ascii="仿宋_GB2312" w:eastAsia="仿宋_GB2312"/>
          <w:color w:val="000000"/>
          <w:sz w:val="24"/>
          <w:highlight w:val="none"/>
        </w:rPr>
        <w:t>月</w:t>
      </w:r>
      <w:r>
        <w:rPr>
          <w:rFonts w:hint="eastAsia" w:ascii="仿宋_GB2312" w:eastAsia="仿宋_GB2312"/>
          <w:color w:val="000000"/>
          <w:sz w:val="24"/>
          <w:highlight w:val="none"/>
          <w:lang w:val="en-US" w:eastAsia="zh-CN"/>
        </w:rPr>
        <w:t>5</w:t>
      </w:r>
      <w:r>
        <w:rPr>
          <w:rFonts w:hint="eastAsia" w:ascii="仿宋_GB2312" w:eastAsia="仿宋_GB2312"/>
          <w:color w:val="000000"/>
          <w:sz w:val="24"/>
          <w:highlight w:val="none"/>
        </w:rPr>
        <w:t>日</w:t>
      </w:r>
    </w:p>
    <w:p>
      <w:pPr>
        <w:spacing w:line="440" w:lineRule="exact"/>
        <w:ind w:firstLine="480" w:firstLineChars="200"/>
        <w:rPr>
          <w:rFonts w:ascii="仿宋_GB2312" w:eastAsia="仿宋_GB2312"/>
          <w:color w:val="000000"/>
          <w:sz w:val="24"/>
          <w:highlight w:val="none"/>
        </w:rPr>
      </w:pPr>
      <w:r>
        <w:rPr>
          <w:rFonts w:hint="eastAsia" w:ascii="仿宋_GB2312" w:eastAsia="仿宋_GB2312"/>
          <w:color w:val="000000"/>
          <w:sz w:val="24"/>
          <w:highlight w:val="none"/>
        </w:rPr>
        <w:t>2．获取采购公告方式：浙江省医疗器械检验研究院官网主页通知公告栏下载；浙江省政府采购网官网主页公告栏下载。</w:t>
      </w:r>
    </w:p>
    <w:p>
      <w:pPr>
        <w:spacing w:line="440" w:lineRule="exact"/>
        <w:ind w:firstLine="480" w:firstLineChars="200"/>
        <w:rPr>
          <w:rFonts w:ascii="仿宋_GB2312" w:eastAsia="仿宋_GB2312"/>
          <w:color w:val="000000"/>
          <w:sz w:val="24"/>
          <w:highlight w:val="none"/>
        </w:rPr>
      </w:pPr>
      <w:r>
        <w:rPr>
          <w:rFonts w:hint="eastAsia" w:ascii="仿宋_GB2312" w:eastAsia="仿宋_GB2312"/>
          <w:color w:val="000000"/>
          <w:sz w:val="24"/>
          <w:highlight w:val="none"/>
        </w:rPr>
        <w:t xml:space="preserve">四、响应截止时间：2024年 </w:t>
      </w:r>
      <w:r>
        <w:rPr>
          <w:rFonts w:hint="eastAsia" w:ascii="仿宋_GB2312" w:eastAsia="仿宋_GB2312"/>
          <w:color w:val="000000"/>
          <w:sz w:val="24"/>
          <w:highlight w:val="none"/>
          <w:lang w:val="en-US" w:eastAsia="zh-CN"/>
        </w:rPr>
        <w:t>7</w:t>
      </w:r>
      <w:r>
        <w:rPr>
          <w:rFonts w:hint="eastAsia" w:ascii="仿宋_GB2312" w:eastAsia="仿宋_GB2312"/>
          <w:color w:val="000000"/>
          <w:sz w:val="24"/>
          <w:highlight w:val="none"/>
        </w:rPr>
        <w:t>月</w:t>
      </w:r>
      <w:r>
        <w:rPr>
          <w:rFonts w:hint="eastAsia" w:ascii="仿宋_GB2312" w:eastAsia="仿宋_GB2312"/>
          <w:color w:val="000000"/>
          <w:sz w:val="24"/>
          <w:highlight w:val="none"/>
          <w:lang w:val="en-US" w:eastAsia="zh-CN"/>
        </w:rPr>
        <w:t>5</w:t>
      </w:r>
      <w:r>
        <w:rPr>
          <w:rFonts w:hint="eastAsia" w:ascii="仿宋_GB2312" w:eastAsia="仿宋_GB2312"/>
          <w:color w:val="000000"/>
          <w:sz w:val="24"/>
          <w:highlight w:val="none"/>
        </w:rPr>
        <w:t xml:space="preserve">日　14:00 </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五、响应文件提交地点：杭州市下沙开发区25号大街379号浙江省医疗器械检验研究院2</w:t>
      </w:r>
      <w:r>
        <w:rPr>
          <w:rFonts w:ascii="仿宋_GB2312" w:eastAsia="仿宋_GB2312"/>
          <w:color w:val="000000"/>
          <w:sz w:val="24"/>
        </w:rPr>
        <w:t>10</w:t>
      </w:r>
      <w:r>
        <w:rPr>
          <w:rFonts w:hint="eastAsia" w:ascii="仿宋_GB2312" w:eastAsia="仿宋_GB2312"/>
          <w:color w:val="000000"/>
          <w:sz w:val="24"/>
        </w:rPr>
        <w:t>房间招标采购小组</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六、开标地点：杭州市下沙开发区25号大街浙江省医疗器械检验研究院会议室</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七、联系方式</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采购人：浙江省医疗器械检验研究院  地点：杭州市下沙开发区25号大街</w:t>
      </w:r>
    </w:p>
    <w:p>
      <w:pPr>
        <w:spacing w:line="440" w:lineRule="exact"/>
        <w:ind w:firstLine="480" w:firstLineChars="200"/>
        <w:rPr>
          <w:rFonts w:ascii="仿宋_GB2312" w:eastAsia="仿宋_GB2312"/>
          <w:color w:val="000000"/>
          <w:sz w:val="24"/>
        </w:rPr>
      </w:pPr>
      <w:r>
        <w:rPr>
          <w:rFonts w:hint="eastAsia" w:ascii="仿宋_GB2312" w:eastAsia="仿宋_GB2312"/>
          <w:sz w:val="24"/>
        </w:rPr>
        <w:t>采购联系人：胡燕燕  联系电话：86002817 传真：86002814</w:t>
      </w:r>
    </w:p>
    <w:p>
      <w:pPr>
        <w:spacing w:line="440" w:lineRule="exact"/>
        <w:ind w:firstLine="480" w:firstLineChars="200"/>
        <w:rPr>
          <w:rFonts w:ascii="仿宋_GB2312" w:eastAsia="仿宋_GB2312"/>
          <w:color w:val="000000"/>
          <w:sz w:val="24"/>
        </w:rPr>
      </w:pPr>
      <w:r>
        <w:rPr>
          <w:rFonts w:hint="eastAsia" w:ascii="仿宋_GB2312" w:eastAsia="仿宋_GB2312"/>
          <w:sz w:val="24"/>
        </w:rPr>
        <w:t>项目联系人：毛俊锋  联系电话：18858110961</w:t>
      </w:r>
    </w:p>
    <w:p>
      <w:pPr>
        <w:spacing w:line="440" w:lineRule="exact"/>
        <w:ind w:firstLine="480" w:firstLineChars="200"/>
        <w:rPr>
          <w:rFonts w:ascii="仿宋_GB2312" w:eastAsia="仿宋_GB2312"/>
          <w:color w:val="000000"/>
          <w:sz w:val="24"/>
        </w:rPr>
      </w:pPr>
      <w:r>
        <w:rPr>
          <w:rFonts w:hint="eastAsia" w:ascii="仿宋_GB2312" w:eastAsia="仿宋_GB2312"/>
          <w:color w:val="000000" w:themeColor="text1"/>
          <w:sz w:val="24"/>
        </w:rPr>
        <w:t>监督电话：0571-86002850</w:t>
      </w:r>
    </w:p>
    <w:p>
      <w:pPr>
        <w:widowControl/>
        <w:jc w:val="left"/>
        <w:rPr>
          <w:rFonts w:ascii="仿宋_GB2312" w:eastAsia="仿宋_GB2312"/>
          <w:b/>
          <w:sz w:val="24"/>
        </w:rPr>
      </w:pPr>
      <w:r>
        <w:rPr>
          <w:rFonts w:ascii="仿宋_GB2312" w:eastAsia="仿宋_GB2312"/>
          <w:b/>
          <w:sz w:val="24"/>
        </w:rPr>
        <w:br w:type="page"/>
      </w:r>
    </w:p>
    <w:p>
      <w:pPr>
        <w:spacing w:line="440" w:lineRule="exact"/>
        <w:jc w:val="center"/>
        <w:rPr>
          <w:rFonts w:ascii="仿宋_GB2312" w:eastAsia="仿宋_GB2312"/>
          <w:b/>
          <w:sz w:val="24"/>
        </w:rPr>
      </w:pPr>
      <w:r>
        <w:rPr>
          <w:rFonts w:hint="eastAsia" w:ascii="仿宋_GB2312" w:eastAsia="仿宋_GB2312"/>
          <w:b/>
          <w:sz w:val="24"/>
        </w:rPr>
        <w:t>第二部分 须知</w:t>
      </w:r>
    </w:p>
    <w:p>
      <w:pPr>
        <w:spacing w:line="440" w:lineRule="exact"/>
        <w:jc w:val="center"/>
        <w:rPr>
          <w:rFonts w:ascii="仿宋_GB2312" w:eastAsia="仿宋_GB2312"/>
          <w:sz w:val="24"/>
        </w:rPr>
      </w:pPr>
    </w:p>
    <w:p>
      <w:pPr>
        <w:spacing w:line="440" w:lineRule="exact"/>
        <w:rPr>
          <w:rFonts w:ascii="仿宋_GB2312" w:eastAsia="仿宋_GB2312"/>
          <w:sz w:val="24"/>
        </w:rPr>
      </w:pPr>
      <w:r>
        <w:rPr>
          <w:rFonts w:hint="eastAsia" w:ascii="仿宋_GB2312" w:eastAsia="仿宋_GB2312"/>
          <w:sz w:val="24"/>
        </w:rPr>
        <w:t>一、适用范围：仅适用于本次采购所叙述的项目。</w:t>
      </w:r>
    </w:p>
    <w:p>
      <w:pPr>
        <w:spacing w:line="440" w:lineRule="exact"/>
        <w:rPr>
          <w:rFonts w:ascii="仿宋_GB2312" w:eastAsia="仿宋_GB2312"/>
          <w:sz w:val="24"/>
        </w:rPr>
      </w:pPr>
      <w:r>
        <w:rPr>
          <w:rFonts w:hint="eastAsia" w:ascii="仿宋_GB2312" w:eastAsia="仿宋_GB2312"/>
          <w:sz w:val="24"/>
        </w:rPr>
        <w:t>二、定义</w:t>
      </w:r>
    </w:p>
    <w:p>
      <w:pPr>
        <w:spacing w:line="440" w:lineRule="exact"/>
        <w:rPr>
          <w:rFonts w:ascii="仿宋_GB2312" w:eastAsia="仿宋_GB2312"/>
          <w:sz w:val="24"/>
        </w:rPr>
      </w:pPr>
      <w:r>
        <w:rPr>
          <w:rFonts w:hint="eastAsia" w:ascii="仿宋_GB2312" w:eastAsia="仿宋_GB2312"/>
          <w:sz w:val="24"/>
        </w:rPr>
        <w:t>（一）“采购人”系指浙江省医疗器械检验研究院。</w:t>
      </w:r>
    </w:p>
    <w:p>
      <w:pPr>
        <w:spacing w:line="440" w:lineRule="exact"/>
        <w:rPr>
          <w:rFonts w:ascii="仿宋_GB2312" w:eastAsia="仿宋_GB2312"/>
          <w:sz w:val="24"/>
        </w:rPr>
      </w:pPr>
      <w:r>
        <w:rPr>
          <w:rFonts w:hint="eastAsia" w:ascii="仿宋_GB2312" w:eastAsia="仿宋_GB2312"/>
          <w:sz w:val="24"/>
        </w:rPr>
        <w:t>（二）“响应方”系指向采购人提交响应文件的供应商。</w:t>
      </w:r>
    </w:p>
    <w:p>
      <w:pPr>
        <w:spacing w:line="440" w:lineRule="exact"/>
        <w:rPr>
          <w:rFonts w:ascii="仿宋_GB2312" w:eastAsia="仿宋_GB2312"/>
          <w:sz w:val="24"/>
        </w:rPr>
      </w:pPr>
      <w:r>
        <w:rPr>
          <w:rFonts w:hint="eastAsia" w:ascii="仿宋_GB2312" w:eastAsia="仿宋_GB2312"/>
          <w:sz w:val="24"/>
        </w:rPr>
        <w:t>三、响应文件的组成</w:t>
      </w:r>
    </w:p>
    <w:p>
      <w:pPr>
        <w:spacing w:line="440" w:lineRule="exact"/>
        <w:rPr>
          <w:rFonts w:ascii="仿宋_GB2312" w:eastAsia="仿宋_GB2312"/>
          <w:sz w:val="24"/>
        </w:rPr>
      </w:pPr>
      <w:r>
        <w:rPr>
          <w:rFonts w:hint="eastAsia" w:ascii="仿宋_GB2312" w:eastAsia="仿宋_GB2312"/>
          <w:sz w:val="24"/>
        </w:rPr>
        <w:t>（一）采购公告响应书（附件一）；</w:t>
      </w:r>
    </w:p>
    <w:p>
      <w:pPr>
        <w:spacing w:line="440" w:lineRule="exact"/>
        <w:rPr>
          <w:rFonts w:ascii="仿宋_GB2312" w:eastAsia="仿宋_GB2312"/>
          <w:sz w:val="24"/>
        </w:rPr>
      </w:pPr>
      <w:r>
        <w:rPr>
          <w:rFonts w:hint="eastAsia" w:ascii="仿宋_GB2312" w:eastAsia="仿宋_GB2312"/>
          <w:sz w:val="24"/>
        </w:rPr>
        <w:t>（二）报价表（须提供报价明细清单）（附件二）；</w:t>
      </w:r>
    </w:p>
    <w:p>
      <w:pPr>
        <w:spacing w:line="440" w:lineRule="exact"/>
        <w:rPr>
          <w:rFonts w:ascii="仿宋_GB2312" w:eastAsia="仿宋_GB2312"/>
          <w:sz w:val="24"/>
        </w:rPr>
      </w:pPr>
      <w:r>
        <w:rPr>
          <w:rFonts w:hint="eastAsia" w:ascii="仿宋_GB2312" w:eastAsia="仿宋_GB2312"/>
          <w:sz w:val="24"/>
        </w:rPr>
        <w:t>（三）服务承诺表（附件四）；</w:t>
      </w:r>
    </w:p>
    <w:p>
      <w:pPr>
        <w:spacing w:line="440" w:lineRule="exact"/>
        <w:rPr>
          <w:rFonts w:ascii="仿宋_GB2312" w:eastAsia="仿宋_GB2312"/>
          <w:sz w:val="24"/>
        </w:rPr>
      </w:pPr>
      <w:r>
        <w:rPr>
          <w:rFonts w:hint="eastAsia" w:ascii="仿宋_GB2312" w:eastAsia="仿宋_GB2312"/>
          <w:sz w:val="24"/>
        </w:rPr>
        <w:t>（四）服务类似的相关业绩证明（以合同为准）。</w:t>
      </w:r>
    </w:p>
    <w:p>
      <w:pPr>
        <w:spacing w:line="440" w:lineRule="exact"/>
        <w:rPr>
          <w:rFonts w:ascii="仿宋_GB2312" w:eastAsia="仿宋_GB2312"/>
          <w:sz w:val="24"/>
        </w:rPr>
      </w:pPr>
      <w:r>
        <w:rPr>
          <w:rFonts w:hint="eastAsia" w:ascii="仿宋_GB2312" w:eastAsia="仿宋_GB2312"/>
          <w:sz w:val="24"/>
        </w:rPr>
        <w:t xml:space="preserve">（五）法定代表人授权书（附件三）和全权代表身份证复印件； </w:t>
      </w:r>
    </w:p>
    <w:p>
      <w:pPr>
        <w:spacing w:line="440" w:lineRule="exact"/>
        <w:rPr>
          <w:rFonts w:ascii="仿宋_GB2312" w:eastAsia="仿宋_GB2312"/>
          <w:sz w:val="24"/>
        </w:rPr>
      </w:pPr>
      <w:r>
        <w:rPr>
          <w:rFonts w:hint="eastAsia" w:ascii="仿宋_GB2312" w:eastAsia="仿宋_GB2312"/>
          <w:sz w:val="24"/>
        </w:rPr>
        <w:t>（六）响应方认为需要的其他文件资料；</w:t>
      </w:r>
    </w:p>
    <w:p>
      <w:pPr>
        <w:spacing w:line="440" w:lineRule="exact"/>
        <w:rPr>
          <w:rFonts w:ascii="仿宋_GB2312" w:eastAsia="仿宋_GB2312"/>
          <w:sz w:val="24"/>
        </w:rPr>
      </w:pPr>
      <w:r>
        <w:rPr>
          <w:rFonts w:hint="eastAsia" w:ascii="仿宋_GB2312" w:eastAsia="仿宋_GB2312"/>
          <w:sz w:val="24"/>
        </w:rPr>
        <w:t>（七）符合年检的营业执照副本复印件、符合年检的税务登记证书复印件、组织机构代码证副本复印件（加盖公章）。</w:t>
      </w:r>
    </w:p>
    <w:p>
      <w:pPr>
        <w:spacing w:line="440" w:lineRule="exact"/>
        <w:ind w:firstLine="480" w:firstLineChars="200"/>
        <w:rPr>
          <w:rFonts w:ascii="仿宋_GB2312" w:eastAsia="仿宋_GB2312"/>
          <w:sz w:val="24"/>
        </w:rPr>
      </w:pPr>
      <w:r>
        <w:rPr>
          <w:rFonts w:hint="eastAsia" w:ascii="仿宋_GB2312" w:eastAsia="仿宋_GB2312"/>
          <w:sz w:val="24"/>
        </w:rPr>
        <w:t>以上文件密封装订，并在封皮上注明：采购响应方单位名称、项目名称、项目编号、参加的标项、响应方名称、详细地址、全权代表姓名。</w:t>
      </w:r>
    </w:p>
    <w:p>
      <w:pPr>
        <w:spacing w:line="440" w:lineRule="exact"/>
        <w:ind w:firstLine="480" w:firstLineChars="200"/>
        <w:rPr>
          <w:rFonts w:ascii="仿宋_GB2312" w:eastAsia="仿宋_GB2312"/>
          <w:sz w:val="24"/>
        </w:rPr>
      </w:pPr>
      <w:r>
        <w:rPr>
          <w:rFonts w:hint="eastAsia" w:ascii="仿宋_GB2312" w:eastAsia="仿宋_GB2312"/>
          <w:sz w:val="24"/>
        </w:rPr>
        <w:t>响应文件正、副本中必须提供《报价表》及相关的报价明细清单。</w:t>
      </w:r>
    </w:p>
    <w:p>
      <w:pPr>
        <w:spacing w:line="440" w:lineRule="exact"/>
        <w:rPr>
          <w:rFonts w:ascii="仿宋_GB2312" w:eastAsia="仿宋_GB2312"/>
          <w:b/>
          <w:sz w:val="24"/>
        </w:rPr>
      </w:pPr>
      <w:r>
        <w:rPr>
          <w:rFonts w:hint="eastAsia" w:ascii="仿宋_GB2312" w:eastAsia="仿宋_GB2312"/>
          <w:b/>
          <w:sz w:val="24"/>
        </w:rPr>
        <w:t>四、响应文件的签署和份数</w:t>
      </w:r>
    </w:p>
    <w:p>
      <w:pPr>
        <w:spacing w:line="440" w:lineRule="exact"/>
        <w:rPr>
          <w:rFonts w:ascii="仿宋_GB2312" w:eastAsia="仿宋_GB2312"/>
          <w:sz w:val="24"/>
        </w:rPr>
      </w:pPr>
      <w:r>
        <w:rPr>
          <w:rFonts w:hint="eastAsia" w:ascii="仿宋_GB2312" w:eastAsia="仿宋_GB2312"/>
          <w:sz w:val="24"/>
        </w:rPr>
        <w:t>（一）响应文件需打印或用不褪色的墨水填写。响应文件的装订顺序应按第三条所叙顺序装订，必须采用胶装，不得活页装订。</w:t>
      </w:r>
    </w:p>
    <w:p>
      <w:pPr>
        <w:spacing w:line="440" w:lineRule="exact"/>
        <w:rPr>
          <w:rFonts w:ascii="仿宋_GB2312" w:eastAsia="仿宋_GB2312"/>
          <w:sz w:val="24"/>
        </w:rPr>
      </w:pPr>
      <w:r>
        <w:rPr>
          <w:rFonts w:hint="eastAsia" w:ascii="仿宋_GB2312" w:eastAsia="仿宋_GB2312"/>
          <w:sz w:val="24"/>
        </w:rPr>
        <w:t>（二）响应文件凡需要盖章处均须由响应方盖公章，并由法定代表人或全权代表签署，响应方应写全称。</w:t>
      </w:r>
    </w:p>
    <w:p>
      <w:pPr>
        <w:spacing w:line="440" w:lineRule="exact"/>
        <w:rPr>
          <w:rFonts w:ascii="仿宋_GB2312" w:eastAsia="仿宋_GB2312"/>
          <w:sz w:val="24"/>
        </w:rPr>
      </w:pPr>
      <w:r>
        <w:rPr>
          <w:rFonts w:hint="eastAsia" w:ascii="仿宋_GB2312" w:eastAsia="仿宋_GB2312"/>
          <w:sz w:val="24"/>
        </w:rPr>
        <w:t>（三）采购预算金额不到五万的采购项目，响应方应打印标书正本一份，副本两份；采购预算金额大于五万的采购项目，响应方应打印标书正本一份，副本四份；</w:t>
      </w:r>
    </w:p>
    <w:p>
      <w:pPr>
        <w:spacing w:line="440" w:lineRule="exact"/>
        <w:rPr>
          <w:rFonts w:ascii="仿宋_GB2312" w:eastAsia="仿宋_GB2312"/>
          <w:b/>
          <w:bCs/>
          <w:sz w:val="24"/>
        </w:rPr>
      </w:pPr>
      <w:r>
        <w:rPr>
          <w:rFonts w:hint="eastAsia" w:ascii="仿宋_GB2312" w:eastAsia="仿宋_GB2312"/>
          <w:sz w:val="24"/>
        </w:rPr>
        <w:t>（四）每个标项单独制作标书进行报价。</w:t>
      </w:r>
    </w:p>
    <w:p>
      <w:pPr>
        <w:spacing w:line="440" w:lineRule="exact"/>
        <w:rPr>
          <w:rFonts w:ascii="仿宋_GB2312" w:eastAsia="仿宋_GB2312"/>
          <w:b/>
          <w:sz w:val="24"/>
        </w:rPr>
      </w:pPr>
      <w:r>
        <w:rPr>
          <w:rFonts w:hint="eastAsia" w:ascii="仿宋_GB2312" w:eastAsia="仿宋_GB2312"/>
          <w:b/>
          <w:sz w:val="24"/>
        </w:rPr>
        <w:t>五、响应文件的递交</w:t>
      </w:r>
    </w:p>
    <w:p>
      <w:pPr>
        <w:spacing w:line="440" w:lineRule="exact"/>
        <w:rPr>
          <w:rFonts w:ascii="仿宋_GB2312" w:eastAsia="仿宋_GB2312"/>
          <w:sz w:val="24"/>
        </w:rPr>
      </w:pPr>
      <w:r>
        <w:rPr>
          <w:rFonts w:hint="eastAsia" w:ascii="仿宋_GB2312" w:eastAsia="仿宋_GB2312"/>
          <w:sz w:val="24"/>
        </w:rPr>
        <w:t>（一）如果响应方未加写标记，采购人对响应文件的误投和提前启封不负责任。</w:t>
      </w:r>
    </w:p>
    <w:p>
      <w:pPr>
        <w:spacing w:line="440" w:lineRule="exact"/>
        <w:rPr>
          <w:rFonts w:ascii="仿宋_GB2312" w:eastAsia="仿宋_GB2312"/>
          <w:sz w:val="24"/>
        </w:rPr>
      </w:pPr>
      <w:r>
        <w:rPr>
          <w:rFonts w:hint="eastAsia" w:ascii="仿宋_GB2312" w:eastAsia="仿宋_GB2312"/>
          <w:sz w:val="24"/>
        </w:rPr>
        <w:t>（二）采购人接受响应文件时间</w:t>
      </w:r>
    </w:p>
    <w:p>
      <w:pPr>
        <w:spacing w:line="440" w:lineRule="exact"/>
        <w:ind w:firstLine="480" w:firstLineChars="200"/>
        <w:rPr>
          <w:rFonts w:ascii="仿宋_GB2312" w:eastAsia="仿宋_GB2312"/>
          <w:sz w:val="24"/>
        </w:rPr>
      </w:pPr>
      <w:r>
        <w:rPr>
          <w:rFonts w:hint="eastAsia" w:ascii="仿宋_GB2312" w:eastAsia="仿宋_GB2312"/>
          <w:sz w:val="24"/>
        </w:rPr>
        <w:t>采购人于采购公告发放之日起至采购公告响应截止时间前接受采购响应标书。</w:t>
      </w:r>
    </w:p>
    <w:p>
      <w:pPr>
        <w:spacing w:line="440" w:lineRule="exact"/>
        <w:rPr>
          <w:rFonts w:ascii="仿宋_GB2312" w:eastAsia="仿宋_GB2312"/>
          <w:sz w:val="24"/>
        </w:rPr>
      </w:pPr>
      <w:r>
        <w:rPr>
          <w:rFonts w:hint="eastAsia" w:ascii="仿宋_GB2312" w:eastAsia="仿宋_GB2312"/>
          <w:sz w:val="24"/>
        </w:rPr>
        <w:t>（三）采购响应文件的补充和修改</w:t>
      </w:r>
    </w:p>
    <w:p>
      <w:pPr>
        <w:spacing w:line="440" w:lineRule="exact"/>
        <w:ind w:firstLine="480" w:firstLineChars="200"/>
        <w:rPr>
          <w:rFonts w:ascii="仿宋_GB2312" w:eastAsia="仿宋_GB2312"/>
          <w:sz w:val="24"/>
        </w:rPr>
      </w:pPr>
      <w:r>
        <w:rPr>
          <w:rFonts w:hint="eastAsia" w:ascii="仿宋_GB2312" w:eastAsia="仿宋_GB2312"/>
          <w:sz w:val="24"/>
        </w:rPr>
        <w:t>采购响应截止时间前，采购响应方可以书面形式补充和修改，已向采购人递交的采购响应文件，相应部分以最后的补充和修改为准。该书面材料应密封，由响应方代表签字并加盖公章。</w:t>
      </w:r>
    </w:p>
    <w:p>
      <w:pPr>
        <w:spacing w:line="440" w:lineRule="exact"/>
        <w:rPr>
          <w:rFonts w:ascii="仿宋_GB2312" w:eastAsia="仿宋_GB2312"/>
          <w:sz w:val="24"/>
        </w:rPr>
      </w:pPr>
      <w:r>
        <w:rPr>
          <w:rFonts w:hint="eastAsia" w:ascii="仿宋_GB2312" w:eastAsia="仿宋_GB2312"/>
          <w:sz w:val="24"/>
        </w:rPr>
        <w:t>（四）采购响应文件填写字迹必须清楚、工整，对在采购响应文件中的不同文字文本的解释发生异议的，以中文文本为准。</w:t>
      </w:r>
    </w:p>
    <w:p>
      <w:pPr>
        <w:spacing w:line="440" w:lineRule="exact"/>
        <w:rPr>
          <w:rFonts w:ascii="仿宋_GB2312" w:eastAsia="仿宋_GB2312"/>
          <w:sz w:val="24"/>
        </w:rPr>
      </w:pPr>
      <w:r>
        <w:rPr>
          <w:rFonts w:hint="eastAsia" w:ascii="仿宋_GB2312" w:eastAsia="仿宋_GB2312"/>
          <w:sz w:val="24"/>
        </w:rPr>
        <w:t>六、无效响应文件</w:t>
      </w:r>
    </w:p>
    <w:p>
      <w:pPr>
        <w:spacing w:line="440" w:lineRule="exact"/>
        <w:ind w:firstLine="480" w:firstLineChars="200"/>
        <w:rPr>
          <w:rFonts w:ascii="仿宋_GB2312" w:eastAsia="仿宋_GB2312"/>
          <w:sz w:val="24"/>
        </w:rPr>
      </w:pPr>
      <w:r>
        <w:rPr>
          <w:rFonts w:hint="eastAsia" w:ascii="仿宋_GB2312" w:eastAsia="仿宋_GB2312"/>
          <w:sz w:val="24"/>
        </w:rPr>
        <w:t>发生下列情况之一的响应文件被视为无效：</w:t>
      </w:r>
    </w:p>
    <w:p>
      <w:pPr>
        <w:spacing w:line="440" w:lineRule="exact"/>
        <w:rPr>
          <w:rFonts w:ascii="仿宋_GB2312" w:eastAsia="仿宋_GB2312"/>
          <w:sz w:val="24"/>
        </w:rPr>
      </w:pPr>
      <w:r>
        <w:rPr>
          <w:rFonts w:hint="eastAsia" w:ascii="仿宋_GB2312" w:eastAsia="仿宋_GB2312"/>
          <w:sz w:val="24"/>
        </w:rPr>
        <w:t>（一）在响应文件递交截止时间以后送达的响应文件；</w:t>
      </w:r>
    </w:p>
    <w:p>
      <w:pPr>
        <w:spacing w:line="440" w:lineRule="exact"/>
        <w:rPr>
          <w:rFonts w:ascii="仿宋_GB2312" w:eastAsia="仿宋_GB2312"/>
          <w:sz w:val="24"/>
        </w:rPr>
      </w:pPr>
      <w:r>
        <w:rPr>
          <w:rFonts w:hint="eastAsia" w:ascii="仿宋_GB2312" w:eastAsia="仿宋_GB2312"/>
          <w:sz w:val="24"/>
        </w:rPr>
        <w:t>（二）由于包装不妥，在送交途中严重破损或失散的响应文件；</w:t>
      </w:r>
    </w:p>
    <w:p>
      <w:pPr>
        <w:spacing w:line="440" w:lineRule="exact"/>
        <w:rPr>
          <w:rFonts w:ascii="仿宋_GB2312" w:eastAsia="仿宋_GB2312"/>
          <w:sz w:val="24"/>
        </w:rPr>
      </w:pPr>
      <w:r>
        <w:rPr>
          <w:rFonts w:hint="eastAsia" w:ascii="仿宋_GB2312" w:eastAsia="仿宋_GB2312"/>
          <w:sz w:val="24"/>
        </w:rPr>
        <w:t>（三）仅以非纸质文件形式的响应文件；</w:t>
      </w:r>
    </w:p>
    <w:p>
      <w:pPr>
        <w:spacing w:line="440" w:lineRule="exact"/>
        <w:rPr>
          <w:rFonts w:ascii="仿宋_GB2312" w:eastAsia="仿宋_GB2312"/>
          <w:sz w:val="24"/>
        </w:rPr>
      </w:pPr>
      <w:r>
        <w:rPr>
          <w:rFonts w:hint="eastAsia" w:ascii="仿宋_GB2312" w:eastAsia="仿宋_GB2312"/>
          <w:sz w:val="24"/>
        </w:rPr>
        <w:t>（四）响应方未能提供合格的资格文件；</w:t>
      </w:r>
    </w:p>
    <w:p>
      <w:pPr>
        <w:spacing w:line="440" w:lineRule="exact"/>
        <w:rPr>
          <w:rFonts w:ascii="仿宋_GB2312" w:eastAsia="仿宋_GB2312"/>
          <w:sz w:val="24"/>
        </w:rPr>
      </w:pPr>
      <w:r>
        <w:rPr>
          <w:rFonts w:hint="eastAsia" w:ascii="仿宋_GB2312" w:eastAsia="仿宋_GB2312"/>
          <w:sz w:val="24"/>
        </w:rPr>
        <w:t>（五）与采购公告有重大偏离的响应文件；</w:t>
      </w:r>
    </w:p>
    <w:p>
      <w:pPr>
        <w:spacing w:line="440" w:lineRule="exact"/>
        <w:rPr>
          <w:rFonts w:ascii="仿宋_GB2312" w:eastAsia="仿宋_GB2312"/>
          <w:sz w:val="24"/>
        </w:rPr>
      </w:pPr>
      <w:r>
        <w:rPr>
          <w:rFonts w:hint="eastAsia" w:ascii="仿宋_GB2312" w:eastAsia="仿宋_GB2312"/>
          <w:sz w:val="24"/>
        </w:rPr>
        <w:t>（六）响应文件应盖公章而未盖公章或盖非公司公章、未装订、未密封、未有效授权、注册资金不符、响应书、法定代表人授权书等填写不完整或有涂改的；</w:t>
      </w:r>
    </w:p>
    <w:p>
      <w:pPr>
        <w:spacing w:line="440" w:lineRule="exact"/>
        <w:rPr>
          <w:rFonts w:hint="eastAsia" w:ascii="仿宋_GB2312" w:eastAsia="仿宋_GB2312"/>
          <w:sz w:val="24"/>
          <w:highlight w:val="none"/>
        </w:rPr>
      </w:pPr>
      <w:r>
        <w:rPr>
          <w:rFonts w:hint="eastAsia" w:ascii="仿宋_GB2312" w:eastAsia="仿宋_GB2312"/>
          <w:sz w:val="24"/>
        </w:rPr>
        <w:t>（七</w:t>
      </w:r>
      <w:r>
        <w:rPr>
          <w:rFonts w:hint="eastAsia" w:ascii="仿宋_GB2312" w:eastAsia="仿宋_GB2312"/>
          <w:sz w:val="24"/>
          <w:highlight w:val="none"/>
        </w:rPr>
        <w:t>）不符合法律、法规和本采购公告规定的其他实质性要求的。</w:t>
      </w:r>
    </w:p>
    <w:p>
      <w:pPr>
        <w:pStyle w:val="2"/>
        <w:rPr>
          <w:rFonts w:hint="default" w:ascii="仿宋_GB2312" w:hAnsi="Times New Roman" w:eastAsia="仿宋_GB2312" w:cs="Times New Roman"/>
          <w:kern w:val="2"/>
          <w:sz w:val="24"/>
          <w:szCs w:val="24"/>
          <w:highlight w:val="none"/>
          <w:lang w:eastAsia="zh-CN" w:bidi="ar-SA"/>
        </w:rPr>
      </w:pPr>
      <w:r>
        <w:rPr>
          <w:rFonts w:hint="eastAsia" w:ascii="仿宋_GB2312" w:hAnsi="Times New Roman" w:eastAsia="仿宋_GB2312" w:cs="Times New Roman"/>
          <w:kern w:val="2"/>
          <w:sz w:val="24"/>
          <w:szCs w:val="24"/>
          <w:highlight w:val="none"/>
          <w:lang w:eastAsia="zh-CN" w:bidi="ar-SA"/>
        </w:rPr>
        <w:t>（八）投标方</w:t>
      </w:r>
      <w:r>
        <w:rPr>
          <w:rFonts w:hint="default" w:cs="Times New Roman"/>
          <w:kern w:val="2"/>
          <w:sz w:val="24"/>
          <w:szCs w:val="24"/>
          <w:highlight w:val="none"/>
          <w:lang w:eastAsia="zh-CN" w:bidi="ar-SA"/>
        </w:rPr>
        <w:t>在提交响应文件前没有组织专人</w:t>
      </w:r>
      <w:r>
        <w:rPr>
          <w:rFonts w:hint="eastAsia" w:ascii="仿宋_GB2312" w:hAnsi="Times New Roman" w:eastAsia="仿宋_GB2312" w:cs="Times New Roman"/>
          <w:kern w:val="2"/>
          <w:sz w:val="24"/>
          <w:szCs w:val="24"/>
          <w:highlight w:val="none"/>
          <w:lang w:eastAsia="zh-CN" w:bidi="ar-SA"/>
        </w:rPr>
        <w:t>到现场踏勘</w:t>
      </w:r>
      <w:r>
        <w:rPr>
          <w:rFonts w:hint="default" w:cs="Times New Roman"/>
          <w:kern w:val="2"/>
          <w:sz w:val="24"/>
          <w:szCs w:val="24"/>
          <w:highlight w:val="none"/>
          <w:lang w:eastAsia="zh-CN" w:bidi="ar-SA"/>
        </w:rPr>
        <w:t>，</w:t>
      </w:r>
      <w:r>
        <w:rPr>
          <w:rFonts w:hint="eastAsia" w:ascii="仿宋_GB2312" w:hAnsi="Times New Roman" w:eastAsia="仿宋_GB2312" w:cs="Times New Roman"/>
          <w:kern w:val="2"/>
          <w:sz w:val="24"/>
          <w:szCs w:val="24"/>
          <w:highlight w:val="none"/>
          <w:lang w:eastAsia="zh-CN" w:bidi="ar-SA"/>
        </w:rPr>
        <w:t>或单方面</w:t>
      </w:r>
      <w:r>
        <w:rPr>
          <w:rFonts w:hint="default" w:cs="Times New Roman"/>
          <w:kern w:val="2"/>
          <w:sz w:val="24"/>
          <w:szCs w:val="24"/>
          <w:highlight w:val="none"/>
          <w:lang w:eastAsia="zh-CN" w:bidi="ar-SA"/>
        </w:rPr>
        <w:t>组织人员</w:t>
      </w:r>
      <w:r>
        <w:rPr>
          <w:rFonts w:hint="eastAsia" w:ascii="仿宋_GB2312" w:hAnsi="Times New Roman" w:eastAsia="仿宋_GB2312" w:cs="Times New Roman"/>
          <w:kern w:val="2"/>
          <w:sz w:val="24"/>
          <w:szCs w:val="24"/>
          <w:highlight w:val="none"/>
          <w:lang w:eastAsia="zh-CN" w:bidi="ar-SA"/>
        </w:rPr>
        <w:t>到现场未和招标方相关人员开展沟通交流详细了解项目情况的</w:t>
      </w:r>
      <w:r>
        <w:rPr>
          <w:rFonts w:hint="default" w:cs="Times New Roman"/>
          <w:kern w:val="2"/>
          <w:sz w:val="24"/>
          <w:szCs w:val="24"/>
          <w:highlight w:val="none"/>
          <w:lang w:eastAsia="zh-CN" w:bidi="ar-SA"/>
        </w:rPr>
        <w:t>。</w:t>
      </w:r>
    </w:p>
    <w:p>
      <w:pPr>
        <w:spacing w:line="440" w:lineRule="exact"/>
        <w:rPr>
          <w:rFonts w:ascii="仿宋_GB2312" w:eastAsia="仿宋_GB2312"/>
          <w:sz w:val="24"/>
          <w:highlight w:val="none"/>
        </w:rPr>
      </w:pPr>
      <w:r>
        <w:rPr>
          <w:rFonts w:hint="eastAsia" w:ascii="仿宋_GB2312" w:eastAsia="仿宋_GB2312"/>
          <w:sz w:val="24"/>
          <w:highlight w:val="none"/>
        </w:rPr>
        <w:t>七、采购公告答疑</w:t>
      </w:r>
      <w:bookmarkStart w:id="1" w:name="_GoBack"/>
      <w:bookmarkEnd w:id="1"/>
    </w:p>
    <w:p>
      <w:pPr>
        <w:spacing w:line="440" w:lineRule="exact"/>
        <w:ind w:firstLine="480" w:firstLineChars="200"/>
        <w:rPr>
          <w:rFonts w:ascii="仿宋_GB2312" w:eastAsia="仿宋_GB2312"/>
          <w:sz w:val="24"/>
        </w:rPr>
      </w:pPr>
      <w:r>
        <w:rPr>
          <w:rFonts w:hint="eastAsia" w:ascii="仿宋_GB2312" w:eastAsia="仿宋_GB2312"/>
          <w:sz w:val="24"/>
        </w:rPr>
        <w:t>如对本次采购公告存在疑问，请将书面文件在</w:t>
      </w:r>
      <w:r>
        <w:rPr>
          <w:rFonts w:hint="eastAsia" w:ascii="仿宋_GB2312" w:eastAsia="仿宋_GB2312"/>
          <w:color w:val="000000"/>
          <w:sz w:val="24"/>
        </w:rPr>
        <w:t>2024年</w:t>
      </w:r>
      <w:r>
        <w:rPr>
          <w:rFonts w:hint="eastAsia" w:ascii="仿宋_GB2312" w:eastAsia="仿宋_GB2312"/>
          <w:color w:val="000000"/>
          <w:sz w:val="24"/>
          <w:lang w:val="en-US" w:eastAsia="zh-CN"/>
        </w:rPr>
        <w:t>7月</w:t>
      </w:r>
      <w:r>
        <w:rPr>
          <w:rFonts w:hint="eastAsia" w:ascii="仿宋_GB2312" w:eastAsia="仿宋_GB2312"/>
          <w:color w:val="000000"/>
          <w:sz w:val="24"/>
        </w:rPr>
        <w:t xml:space="preserve"> </w:t>
      </w:r>
      <w:r>
        <w:rPr>
          <w:rFonts w:hint="eastAsia" w:ascii="仿宋_GB2312" w:eastAsia="仿宋_GB2312"/>
          <w:color w:val="000000"/>
          <w:sz w:val="24"/>
          <w:lang w:val="en-US" w:eastAsia="zh-CN"/>
        </w:rPr>
        <w:t>5日</w:t>
      </w:r>
      <w:r>
        <w:rPr>
          <w:rFonts w:hint="eastAsia" w:ascii="仿宋_GB2312" w:eastAsia="仿宋_GB2312"/>
          <w:sz w:val="24"/>
        </w:rPr>
        <w:t>下午14时之前，送至浙江省医疗器械检验研究院招标采购小组（下沙25号大街379号208室），采购人将做统一答复，如规定时间内未收到任何质疑，则视为各响应方均对此无异议。</w:t>
      </w:r>
    </w:p>
    <w:p>
      <w:pPr>
        <w:spacing w:line="440" w:lineRule="exact"/>
        <w:rPr>
          <w:rFonts w:ascii="仿宋_GB2312" w:eastAsia="仿宋_GB2312"/>
          <w:sz w:val="24"/>
        </w:rPr>
      </w:pPr>
      <w:r>
        <w:rPr>
          <w:rFonts w:hint="eastAsia" w:ascii="仿宋_GB2312" w:eastAsia="仿宋_GB2312"/>
          <w:sz w:val="24"/>
        </w:rPr>
        <w:t>八、评审办法</w:t>
      </w:r>
    </w:p>
    <w:p>
      <w:pPr>
        <w:spacing w:line="440" w:lineRule="exact"/>
        <w:ind w:firstLine="480" w:firstLineChars="200"/>
        <w:rPr>
          <w:rFonts w:ascii="仿宋_GB2312" w:eastAsia="仿宋_GB2312"/>
          <w:color w:val="000000"/>
          <w:sz w:val="24"/>
        </w:rPr>
      </w:pPr>
      <w:r>
        <w:rPr>
          <w:rFonts w:hint="eastAsia" w:ascii="仿宋_GB2312" w:eastAsia="仿宋_GB2312"/>
          <w:sz w:val="24"/>
        </w:rPr>
        <w:t>招标采购小组将遵循公开、公平、公正的原则，对响应方提供服务、价格、实施方案、售后服务、公司基本情况、履约能力等进行综合分析评分，综合得分最高的推荐为第一中标候选人。</w:t>
      </w:r>
    </w:p>
    <w:p>
      <w:pPr>
        <w:spacing w:line="440" w:lineRule="exact"/>
        <w:rPr>
          <w:rFonts w:ascii="仿宋_GB2312" w:eastAsia="仿宋_GB2312"/>
          <w:sz w:val="24"/>
        </w:rPr>
      </w:pPr>
      <w:r>
        <w:rPr>
          <w:rFonts w:hint="eastAsia" w:ascii="仿宋_GB2312" w:eastAsia="仿宋_GB2312"/>
          <w:sz w:val="24"/>
        </w:rPr>
        <w:t>九、程序</w:t>
      </w:r>
    </w:p>
    <w:p>
      <w:pPr>
        <w:spacing w:line="440" w:lineRule="exact"/>
        <w:rPr>
          <w:rFonts w:ascii="仿宋_GB2312" w:eastAsia="仿宋_GB2312"/>
          <w:sz w:val="24"/>
        </w:rPr>
      </w:pPr>
      <w:r>
        <w:rPr>
          <w:rFonts w:hint="eastAsia" w:ascii="仿宋_GB2312" w:eastAsia="仿宋_GB2312"/>
          <w:sz w:val="24"/>
        </w:rPr>
        <w:t>（一）招标采购小组审核响应文件</w:t>
      </w:r>
    </w:p>
    <w:p>
      <w:pPr>
        <w:spacing w:line="440" w:lineRule="exact"/>
        <w:ind w:firstLine="360" w:firstLineChars="150"/>
        <w:rPr>
          <w:rFonts w:ascii="仿宋_GB2312" w:eastAsia="仿宋_GB2312"/>
          <w:sz w:val="24"/>
        </w:rPr>
      </w:pPr>
      <w:r>
        <w:rPr>
          <w:rFonts w:hint="eastAsia" w:ascii="仿宋_GB2312" w:eastAsia="仿宋_GB2312"/>
          <w:sz w:val="24"/>
        </w:rPr>
        <w:t>依据采购公告的规定，从响应文件的有效性、完整性和对采购公告的响应程度进行审查，以确定是否对采购公告的实质性要求作出响应。</w:t>
      </w:r>
    </w:p>
    <w:p>
      <w:pPr>
        <w:spacing w:line="440" w:lineRule="exact"/>
        <w:rPr>
          <w:rFonts w:ascii="仿宋_GB2312" w:eastAsia="仿宋_GB2312"/>
          <w:sz w:val="24"/>
        </w:rPr>
      </w:pPr>
      <w:r>
        <w:rPr>
          <w:rFonts w:hint="eastAsia" w:ascii="仿宋_GB2312" w:eastAsia="仿宋_GB2312"/>
          <w:sz w:val="24"/>
        </w:rPr>
        <w:t>（二）招标采购小组综合审议的基础上，推荐</w:t>
      </w:r>
      <w:r>
        <w:rPr>
          <w:rFonts w:hint="eastAsia" w:ascii="仿宋_GB2312" w:eastAsia="仿宋_GB2312"/>
          <w:color w:val="000000"/>
          <w:sz w:val="24"/>
        </w:rPr>
        <w:t>综合评分</w:t>
      </w:r>
      <w:r>
        <w:rPr>
          <w:rFonts w:hint="eastAsia" w:ascii="仿宋_GB2312" w:eastAsia="仿宋_GB2312"/>
          <w:sz w:val="24"/>
        </w:rPr>
        <w:t>排名第一的单位为中标供应商。</w:t>
      </w:r>
    </w:p>
    <w:p>
      <w:pPr>
        <w:spacing w:line="440" w:lineRule="exact"/>
        <w:ind w:firstLine="480" w:firstLineChars="200"/>
        <w:rPr>
          <w:rFonts w:ascii="仿宋_GB2312" w:eastAsia="仿宋_GB2312"/>
          <w:sz w:val="24"/>
        </w:rPr>
      </w:pPr>
      <w:r>
        <w:rPr>
          <w:rFonts w:hint="eastAsia" w:ascii="仿宋_GB2312" w:eastAsia="仿宋_GB2312"/>
          <w:sz w:val="24"/>
        </w:rPr>
        <w:t>十、中标通知</w:t>
      </w:r>
    </w:p>
    <w:p>
      <w:pPr>
        <w:spacing w:line="440" w:lineRule="exact"/>
        <w:ind w:firstLine="480" w:firstLineChars="200"/>
        <w:rPr>
          <w:rFonts w:ascii="仿宋_GB2312" w:eastAsia="仿宋_GB2312"/>
          <w:sz w:val="24"/>
        </w:rPr>
      </w:pPr>
      <w:r>
        <w:rPr>
          <w:rFonts w:hint="eastAsia" w:ascii="仿宋_GB2312" w:eastAsia="仿宋_GB2312"/>
          <w:sz w:val="24"/>
        </w:rPr>
        <w:t>（一）采购结束后，采购人将于七个工作日内在浙江省医疗器械检验研究研究院网站和浙江省政府采购网上发布中标公告，公告期满，如无响应方质疑，由浙江省医疗器械检验研究院与中标单位签订购销合同。</w:t>
      </w:r>
    </w:p>
    <w:p>
      <w:pPr>
        <w:spacing w:line="440" w:lineRule="exact"/>
        <w:ind w:firstLine="480" w:firstLineChars="200"/>
        <w:rPr>
          <w:rFonts w:ascii="仿宋_GB2312" w:eastAsia="仿宋_GB2312"/>
          <w:sz w:val="24"/>
        </w:rPr>
      </w:pPr>
      <w:r>
        <w:rPr>
          <w:rFonts w:hint="eastAsia" w:ascii="仿宋_GB2312" w:eastAsia="仿宋_GB2312"/>
          <w:sz w:val="24"/>
        </w:rPr>
        <w:t>（二）中标通知书发出后，若中标供应商放弃中标，应当承担相应的法律责任，中标通知书对采购人和中标供应商具有同等法律效力。</w:t>
      </w:r>
    </w:p>
    <w:p>
      <w:pPr>
        <w:spacing w:line="440" w:lineRule="exact"/>
        <w:ind w:firstLine="480" w:firstLineChars="200"/>
        <w:rPr>
          <w:rFonts w:ascii="仿宋_GB2312" w:eastAsia="仿宋_GB2312"/>
          <w:sz w:val="24"/>
        </w:rPr>
      </w:pPr>
      <w:r>
        <w:rPr>
          <w:rFonts w:hint="eastAsia" w:ascii="仿宋_GB2312" w:eastAsia="仿宋_GB2312"/>
          <w:sz w:val="24"/>
        </w:rPr>
        <w:t>十一、其他</w:t>
      </w:r>
    </w:p>
    <w:p>
      <w:pPr>
        <w:spacing w:line="440" w:lineRule="exact"/>
        <w:ind w:firstLine="480" w:firstLineChars="200"/>
        <w:rPr>
          <w:rFonts w:ascii="仿宋_GB2312" w:eastAsia="仿宋_GB2312"/>
          <w:sz w:val="24"/>
        </w:rPr>
      </w:pPr>
      <w:r>
        <w:rPr>
          <w:rFonts w:hint="eastAsia" w:ascii="仿宋_GB2312" w:eastAsia="仿宋_GB2312"/>
          <w:sz w:val="24"/>
        </w:rPr>
        <w:t>（一）如果有确凿证据证明各响应方之间存在串标等舞弊、违法行为，采购人有权拒绝存在此行为的响应方投标或将投标作废。</w:t>
      </w:r>
    </w:p>
    <w:p>
      <w:pPr>
        <w:spacing w:line="440" w:lineRule="exact"/>
        <w:ind w:firstLine="480" w:firstLineChars="200"/>
        <w:rPr>
          <w:rFonts w:ascii="仿宋_GB2312" w:eastAsia="仿宋_GB2312"/>
          <w:sz w:val="24"/>
        </w:rPr>
      </w:pPr>
      <w:r>
        <w:rPr>
          <w:rFonts w:hint="eastAsia" w:ascii="仿宋_GB2312" w:eastAsia="仿宋_GB2312"/>
          <w:sz w:val="24"/>
        </w:rPr>
        <w:t>（二）中标后不能按要求履行服务保证的供应商将按《中华人民共和国政府采购法》和其它法规进行相应的处罚。</w:t>
      </w:r>
    </w:p>
    <w:p>
      <w:pPr>
        <w:spacing w:line="440" w:lineRule="exact"/>
        <w:ind w:firstLine="480" w:firstLineChars="200"/>
        <w:rPr>
          <w:rFonts w:ascii="仿宋_GB2312" w:eastAsia="仿宋_GB2312"/>
          <w:sz w:val="24"/>
        </w:rPr>
      </w:pPr>
      <w:r>
        <w:rPr>
          <w:rFonts w:hint="eastAsia" w:ascii="仿宋_GB2312" w:eastAsia="仿宋_GB2312"/>
          <w:sz w:val="24"/>
        </w:rPr>
        <w:t>（三）本次采购项目不允许两个或两个以上的供应商组成联合体参加投标，不允许入围的中标单位将项目转包或分包。</w:t>
      </w:r>
    </w:p>
    <w:p>
      <w:pPr>
        <w:spacing w:line="440" w:lineRule="exact"/>
        <w:ind w:firstLine="480" w:firstLineChars="200"/>
        <w:rPr>
          <w:rFonts w:ascii="仿宋_GB2312" w:eastAsia="仿宋_GB2312"/>
          <w:sz w:val="24"/>
        </w:rPr>
      </w:pPr>
      <w:r>
        <w:rPr>
          <w:rFonts w:hint="eastAsia" w:ascii="仿宋_GB2312" w:eastAsia="仿宋_GB2312"/>
          <w:sz w:val="24"/>
        </w:rPr>
        <w:t>（四）本文件未及事项，在签订合同时各方友好商定。</w:t>
      </w:r>
    </w:p>
    <w:p>
      <w:pPr>
        <w:spacing w:line="440" w:lineRule="exact"/>
        <w:rPr>
          <w:rFonts w:ascii="仿宋_GB2312" w:eastAsia="仿宋_GB2312"/>
          <w:sz w:val="24"/>
        </w:rPr>
      </w:pPr>
    </w:p>
    <w:p>
      <w:pPr>
        <w:spacing w:line="440" w:lineRule="exact"/>
        <w:rPr>
          <w:rFonts w:ascii="仿宋_GB2312" w:eastAsia="仿宋_GB2312"/>
          <w:sz w:val="24"/>
        </w:rPr>
      </w:pPr>
    </w:p>
    <w:p>
      <w:pPr>
        <w:ind w:right="-670"/>
        <w:jc w:val="center"/>
        <w:rPr>
          <w:rFonts w:ascii="仿宋_GB2312" w:eastAsia="仿宋_GB2312"/>
          <w:b/>
          <w:sz w:val="24"/>
        </w:rPr>
      </w:pPr>
    </w:p>
    <w:p>
      <w:pPr>
        <w:widowControl/>
        <w:jc w:val="left"/>
        <w:rPr>
          <w:rFonts w:ascii="仿宋_GB2312" w:eastAsia="仿宋_GB2312"/>
          <w:b/>
          <w:sz w:val="24"/>
        </w:rPr>
      </w:pPr>
      <w:r>
        <w:rPr>
          <w:rFonts w:ascii="仿宋_GB2312" w:eastAsia="仿宋_GB2312"/>
          <w:b/>
          <w:sz w:val="24"/>
        </w:rPr>
        <w:br w:type="page"/>
      </w:r>
    </w:p>
    <w:p>
      <w:pPr>
        <w:ind w:right="-670"/>
        <w:jc w:val="center"/>
        <w:rPr>
          <w:rFonts w:ascii="仿宋_GB2312" w:eastAsia="仿宋_GB2312"/>
          <w:b/>
          <w:bCs/>
          <w:sz w:val="24"/>
        </w:rPr>
      </w:pPr>
      <w:r>
        <w:rPr>
          <w:rFonts w:hint="eastAsia" w:ascii="仿宋_GB2312" w:eastAsia="仿宋_GB2312"/>
          <w:b/>
          <w:sz w:val="24"/>
        </w:rPr>
        <w:t xml:space="preserve">第三部分 </w:t>
      </w:r>
      <w:r>
        <w:rPr>
          <w:rFonts w:hint="eastAsia" w:ascii="仿宋_GB2312" w:eastAsia="仿宋_GB2312"/>
          <w:b/>
          <w:bCs/>
          <w:sz w:val="24"/>
        </w:rPr>
        <w:t>响应文件（格式）附表</w:t>
      </w:r>
    </w:p>
    <w:p>
      <w:pPr>
        <w:ind w:right="-670"/>
        <w:jc w:val="center"/>
        <w:rPr>
          <w:rFonts w:ascii="仿宋_GB2312" w:eastAsia="仿宋_GB2312"/>
          <w:b/>
          <w:bCs/>
          <w:sz w:val="24"/>
        </w:rPr>
      </w:pPr>
    </w:p>
    <w:p>
      <w:pPr>
        <w:ind w:right="-670"/>
        <w:jc w:val="center"/>
        <w:rPr>
          <w:rFonts w:ascii="仿宋_GB2312" w:eastAsia="仿宋_GB2312"/>
          <w:b/>
          <w:bCs/>
          <w:sz w:val="24"/>
        </w:rPr>
      </w:pPr>
    </w:p>
    <w:p>
      <w:pPr>
        <w:ind w:right="-670"/>
        <w:jc w:val="center"/>
        <w:rPr>
          <w:rFonts w:ascii="仿宋_GB2312" w:eastAsia="仿宋_GB2312"/>
          <w:b/>
          <w:bCs/>
          <w:sz w:val="24"/>
        </w:rPr>
      </w:pPr>
    </w:p>
    <w:p>
      <w:pPr>
        <w:ind w:right="-670"/>
        <w:rPr>
          <w:rFonts w:ascii="仿宋_GB2312" w:eastAsia="仿宋_GB2312"/>
          <w:b/>
          <w:sz w:val="24"/>
        </w:rPr>
      </w:pPr>
      <w:r>
        <w:rPr>
          <w:rFonts w:hint="eastAsia" w:ascii="仿宋_GB2312" w:eastAsia="仿宋_GB2312"/>
          <w:b/>
          <w:sz w:val="24"/>
        </w:rPr>
        <w:t>附件一</w:t>
      </w:r>
    </w:p>
    <w:p>
      <w:pPr>
        <w:ind w:left="540" w:firstLine="30"/>
        <w:jc w:val="center"/>
        <w:rPr>
          <w:rFonts w:ascii="仿宋_GB2312" w:eastAsia="仿宋_GB2312"/>
          <w:b/>
          <w:sz w:val="24"/>
        </w:rPr>
      </w:pPr>
      <w:r>
        <w:rPr>
          <w:rFonts w:hint="eastAsia" w:ascii="仿宋_GB2312" w:eastAsia="仿宋_GB2312"/>
          <w:b/>
          <w:sz w:val="24"/>
        </w:rPr>
        <w:t>响应书</w:t>
      </w:r>
    </w:p>
    <w:p>
      <w:pPr>
        <w:tabs>
          <w:tab w:val="left" w:pos="6499"/>
        </w:tabs>
        <w:spacing w:line="360" w:lineRule="auto"/>
        <w:jc w:val="left"/>
        <w:rPr>
          <w:rFonts w:ascii="仿宋_GB2312" w:eastAsia="仿宋_GB2312"/>
          <w:sz w:val="24"/>
        </w:rPr>
      </w:pPr>
      <w:r>
        <w:rPr>
          <w:rFonts w:ascii="仿宋_GB2312" w:eastAsia="仿宋_GB2312"/>
          <w:sz w:val="24"/>
        </w:rPr>
        <w:tab/>
      </w:r>
    </w:p>
    <w:p>
      <w:pPr>
        <w:spacing w:line="600" w:lineRule="exact"/>
        <w:jc w:val="left"/>
        <w:rPr>
          <w:rFonts w:ascii="仿宋_GB2312" w:eastAsia="仿宋_GB2312"/>
          <w:sz w:val="24"/>
        </w:rPr>
      </w:pPr>
      <w:r>
        <w:rPr>
          <w:rFonts w:hint="eastAsia" w:ascii="仿宋_GB2312" w:eastAsia="仿宋_GB2312"/>
          <w:sz w:val="24"/>
        </w:rPr>
        <w:t>浙江省医疗器械检验研究院：</w:t>
      </w:r>
    </w:p>
    <w:p>
      <w:pPr>
        <w:spacing w:line="360" w:lineRule="auto"/>
        <w:ind w:firstLine="460" w:firstLineChars="192"/>
        <w:rPr>
          <w:rFonts w:ascii="仿宋_GB2312" w:eastAsia="仿宋_GB2312"/>
          <w:sz w:val="24"/>
        </w:rPr>
      </w:pPr>
      <w:r>
        <w:rPr>
          <w:rFonts w:hint="eastAsia" w:ascii="仿宋_GB2312" w:hAnsi="宋体" w:eastAsia="仿宋_GB2312"/>
          <w:sz w:val="24"/>
          <w:u w:val="single"/>
        </w:rPr>
        <w:t xml:space="preserve"> (响应方单位全称)</w:t>
      </w:r>
      <w:r>
        <w:rPr>
          <w:rFonts w:hint="eastAsia" w:ascii="仿宋_GB2312" w:hAnsi="宋体" w:eastAsia="仿宋_GB2312"/>
          <w:sz w:val="24"/>
        </w:rPr>
        <w:t>授权</w:t>
      </w:r>
      <w:r>
        <w:rPr>
          <w:rFonts w:hint="eastAsia" w:ascii="仿宋_GB2312" w:hAnsi="宋体" w:eastAsia="仿宋_GB2312"/>
          <w:sz w:val="24"/>
          <w:u w:val="single"/>
        </w:rPr>
        <w:t>（全名、职务）</w:t>
      </w:r>
      <w:r>
        <w:rPr>
          <w:rFonts w:hint="eastAsia" w:ascii="仿宋_GB2312" w:hAnsi="宋体" w:eastAsia="仿宋_GB2312"/>
          <w:sz w:val="24"/>
        </w:rPr>
        <w:t>为全权代表，参加贵方组织的</w:t>
      </w:r>
      <w:r>
        <w:rPr>
          <w:rFonts w:hint="eastAsia" w:ascii="仿宋_GB2312" w:hAnsi="宋体" w:eastAsia="仿宋_GB2312"/>
          <w:sz w:val="24"/>
          <w:u w:val="single"/>
        </w:rPr>
        <w:t>（项目名称）采购招标</w:t>
      </w:r>
      <w:r>
        <w:rPr>
          <w:rFonts w:hint="eastAsia" w:ascii="仿宋_GB2312" w:hAnsi="宋体" w:eastAsia="仿宋_GB2312"/>
          <w:sz w:val="24"/>
        </w:rPr>
        <w:t>活动并投标。为此：</w:t>
      </w:r>
    </w:p>
    <w:p>
      <w:pPr>
        <w:spacing w:line="360" w:lineRule="auto"/>
        <w:ind w:firstLine="460" w:firstLineChars="192"/>
        <w:rPr>
          <w:rFonts w:ascii="仿宋_GB2312" w:hAnsi="宋体" w:eastAsia="仿宋_GB2312"/>
          <w:sz w:val="24"/>
        </w:rPr>
      </w:pPr>
      <w:r>
        <w:rPr>
          <w:rFonts w:hint="eastAsia" w:ascii="仿宋_GB2312" w:hAnsi="宋体" w:eastAsia="仿宋_GB2312"/>
          <w:sz w:val="24"/>
        </w:rPr>
        <w:t>1、我方已详细阅读了全部采购公告，愿意接受采购公告的各项要求。</w:t>
      </w:r>
    </w:p>
    <w:p>
      <w:pPr>
        <w:spacing w:line="360" w:lineRule="auto"/>
        <w:ind w:firstLine="460" w:firstLineChars="192"/>
        <w:rPr>
          <w:rFonts w:ascii="仿宋_GB2312" w:hAnsi="宋体" w:eastAsia="仿宋_GB2312"/>
          <w:sz w:val="24"/>
        </w:rPr>
      </w:pPr>
      <w:r>
        <w:rPr>
          <w:rFonts w:hint="eastAsia" w:ascii="仿宋_GB2312" w:hAnsi="宋体" w:eastAsia="仿宋_GB2312"/>
          <w:sz w:val="24"/>
        </w:rPr>
        <w:t>2、我方提供采购公告要求的全部资料，并保证其真实性、合法性。</w:t>
      </w:r>
    </w:p>
    <w:p>
      <w:pPr>
        <w:spacing w:line="360" w:lineRule="auto"/>
        <w:ind w:firstLine="460" w:firstLineChars="192"/>
        <w:rPr>
          <w:rFonts w:ascii="仿宋_GB2312" w:hAnsi="宋体" w:eastAsia="仿宋_GB2312"/>
          <w:sz w:val="24"/>
        </w:rPr>
      </w:pPr>
      <w:r>
        <w:rPr>
          <w:rFonts w:hint="eastAsia" w:ascii="仿宋_GB2312" w:hAnsi="宋体" w:eastAsia="仿宋_GB2312"/>
          <w:sz w:val="24"/>
        </w:rPr>
        <w:t>3、若中标，我方将按采购公告规定履行合同责任和义务。</w:t>
      </w:r>
    </w:p>
    <w:p>
      <w:pPr>
        <w:spacing w:line="360" w:lineRule="auto"/>
        <w:ind w:firstLine="460" w:firstLineChars="192"/>
        <w:rPr>
          <w:rFonts w:ascii="仿宋_GB2312" w:hAnsi="宋体" w:eastAsia="仿宋_GB2312"/>
          <w:sz w:val="24"/>
        </w:rPr>
      </w:pPr>
      <w:r>
        <w:rPr>
          <w:rFonts w:hint="eastAsia" w:ascii="仿宋_GB2312" w:hAnsi="宋体" w:eastAsia="仿宋_GB2312"/>
          <w:sz w:val="24"/>
        </w:rPr>
        <w:t>4、响应书自开标日起有效期为60个工作日。</w:t>
      </w:r>
    </w:p>
    <w:p>
      <w:pPr>
        <w:spacing w:line="360" w:lineRule="auto"/>
        <w:ind w:firstLine="460" w:firstLineChars="192"/>
        <w:rPr>
          <w:rFonts w:ascii="仿宋_GB2312" w:hAnsi="宋体" w:eastAsia="仿宋_GB2312"/>
          <w:sz w:val="24"/>
        </w:rPr>
      </w:pPr>
      <w:r>
        <w:rPr>
          <w:rFonts w:hint="eastAsia" w:ascii="仿宋_GB2312" w:hAnsi="宋体" w:eastAsia="仿宋_GB2312"/>
          <w:sz w:val="24"/>
        </w:rPr>
        <w:t>5、我方与本次采购有关的一切正式来往通讯请寄：</w:t>
      </w:r>
    </w:p>
    <w:p>
      <w:pPr>
        <w:spacing w:line="600" w:lineRule="exact"/>
        <w:ind w:left="540" w:firstLine="30"/>
        <w:jc w:val="left"/>
        <w:rPr>
          <w:rFonts w:ascii="仿宋_GB2312" w:eastAsia="仿宋_GB2312"/>
          <w:sz w:val="24"/>
        </w:rPr>
      </w:pPr>
      <w:r>
        <w:rPr>
          <w:rFonts w:hint="eastAsia" w:ascii="仿宋_GB2312" w:eastAsia="仿宋_GB2312"/>
          <w:sz w:val="24"/>
        </w:rPr>
        <w:t xml:space="preserve">       地址：邮编：</w:t>
      </w:r>
    </w:p>
    <w:p>
      <w:pPr>
        <w:spacing w:line="600" w:lineRule="exact"/>
        <w:ind w:left="540" w:firstLine="30"/>
        <w:jc w:val="left"/>
        <w:rPr>
          <w:rFonts w:ascii="仿宋_GB2312" w:eastAsia="仿宋_GB2312"/>
          <w:sz w:val="24"/>
        </w:rPr>
      </w:pPr>
      <w:r>
        <w:rPr>
          <w:rFonts w:hint="eastAsia" w:ascii="仿宋_GB2312" w:eastAsia="仿宋_GB2312"/>
          <w:sz w:val="24"/>
        </w:rPr>
        <w:t xml:space="preserve">       电话：传真：</w:t>
      </w:r>
    </w:p>
    <w:p>
      <w:pPr>
        <w:spacing w:line="600" w:lineRule="exact"/>
        <w:ind w:left="540" w:firstLine="30"/>
        <w:jc w:val="left"/>
        <w:rPr>
          <w:rFonts w:ascii="仿宋_GB2312" w:eastAsia="仿宋_GB2312"/>
          <w:sz w:val="24"/>
        </w:rPr>
      </w:pPr>
    </w:p>
    <w:p>
      <w:pPr>
        <w:spacing w:line="600" w:lineRule="exact"/>
        <w:ind w:left="540" w:firstLine="30"/>
        <w:jc w:val="left"/>
        <w:rPr>
          <w:rFonts w:ascii="仿宋_GB2312" w:eastAsia="仿宋_GB2312"/>
          <w:sz w:val="24"/>
        </w:rPr>
      </w:pPr>
      <w:r>
        <w:rPr>
          <w:rFonts w:hint="eastAsia" w:ascii="仿宋_GB2312" w:eastAsia="仿宋_GB2312"/>
          <w:sz w:val="24"/>
        </w:rPr>
        <w:t xml:space="preserve">       响应方名称：（公章）</w:t>
      </w:r>
    </w:p>
    <w:p>
      <w:pPr>
        <w:spacing w:line="600" w:lineRule="exact"/>
        <w:ind w:left="540" w:leftChars="257" w:firstLine="868" w:firstLineChars="362"/>
        <w:jc w:val="left"/>
        <w:rPr>
          <w:rFonts w:ascii="仿宋_GB2312" w:eastAsia="仿宋_GB2312"/>
          <w:sz w:val="24"/>
        </w:rPr>
      </w:pPr>
      <w:r>
        <w:rPr>
          <w:rFonts w:hint="eastAsia" w:ascii="仿宋_GB2312" w:eastAsia="仿宋_GB2312"/>
          <w:sz w:val="24"/>
        </w:rPr>
        <w:t>全权代表签字：</w:t>
      </w:r>
    </w:p>
    <w:p>
      <w:pPr>
        <w:spacing w:line="600" w:lineRule="exact"/>
        <w:ind w:left="540" w:firstLine="30"/>
        <w:jc w:val="left"/>
        <w:rPr>
          <w:rFonts w:ascii="仿宋_GB2312" w:eastAsia="仿宋_GB2312"/>
          <w:sz w:val="24"/>
        </w:rPr>
      </w:pPr>
      <w:r>
        <w:rPr>
          <w:rFonts w:hint="eastAsia" w:ascii="仿宋_GB2312" w:eastAsia="仿宋_GB2312"/>
          <w:sz w:val="24"/>
        </w:rPr>
        <w:t xml:space="preserve">       响应日期：年月日</w:t>
      </w:r>
    </w:p>
    <w:p>
      <w:pPr>
        <w:spacing w:line="600" w:lineRule="exact"/>
        <w:ind w:left="540" w:firstLine="30"/>
        <w:jc w:val="left"/>
        <w:rPr>
          <w:rFonts w:ascii="仿宋_GB2312" w:eastAsia="仿宋_GB2312"/>
          <w:b/>
          <w:sz w:val="24"/>
        </w:rPr>
      </w:pPr>
    </w:p>
    <w:p>
      <w:pPr>
        <w:spacing w:line="600" w:lineRule="exact"/>
        <w:ind w:left="540" w:firstLine="30"/>
        <w:jc w:val="left"/>
        <w:rPr>
          <w:rFonts w:ascii="仿宋_GB2312" w:eastAsia="仿宋_GB2312"/>
          <w:b/>
          <w:sz w:val="24"/>
        </w:rPr>
        <w:sectPr>
          <w:pgSz w:w="11906" w:h="16838"/>
          <w:pgMar w:top="1418" w:right="1134" w:bottom="1134" w:left="1134" w:header="851" w:footer="992" w:gutter="0"/>
          <w:pgNumType w:start="1"/>
          <w:cols w:space="720" w:num="1"/>
          <w:titlePg/>
          <w:docGrid w:linePitch="312" w:charSpace="0"/>
        </w:sectPr>
      </w:pPr>
    </w:p>
    <w:p>
      <w:pPr>
        <w:spacing w:line="600" w:lineRule="exact"/>
        <w:jc w:val="left"/>
        <w:rPr>
          <w:rFonts w:ascii="仿宋_GB2312" w:eastAsia="仿宋_GB2312"/>
          <w:b/>
          <w:sz w:val="24"/>
        </w:rPr>
      </w:pPr>
      <w:r>
        <w:rPr>
          <w:rFonts w:hint="eastAsia" w:ascii="仿宋_GB2312" w:eastAsia="仿宋_GB2312"/>
          <w:b/>
          <w:sz w:val="24"/>
        </w:rPr>
        <w:t xml:space="preserve">附件二  </w:t>
      </w:r>
    </w:p>
    <w:p>
      <w:pPr>
        <w:spacing w:line="600" w:lineRule="exact"/>
        <w:jc w:val="left"/>
        <w:rPr>
          <w:rFonts w:ascii="仿宋_GB2312" w:eastAsia="仿宋_GB2312"/>
          <w:b/>
          <w:sz w:val="24"/>
        </w:rPr>
      </w:pPr>
    </w:p>
    <w:p>
      <w:pPr>
        <w:ind w:left="1"/>
        <w:jc w:val="center"/>
        <w:rPr>
          <w:rFonts w:ascii="仿宋_GB2312" w:eastAsia="仿宋_GB2312"/>
          <w:b/>
          <w:sz w:val="24"/>
        </w:rPr>
      </w:pPr>
      <w:r>
        <w:rPr>
          <w:rFonts w:hint="eastAsia" w:ascii="仿宋_GB2312" w:eastAsia="仿宋_GB2312"/>
          <w:b/>
          <w:sz w:val="24"/>
        </w:rPr>
        <w:t>报 价 表</w:t>
      </w:r>
    </w:p>
    <w:p>
      <w:pPr>
        <w:ind w:left="540" w:leftChars="257" w:firstLine="1947" w:firstLineChars="808"/>
        <w:rPr>
          <w:rFonts w:ascii="仿宋_GB2312" w:eastAsia="仿宋_GB2312"/>
          <w:b/>
          <w:sz w:val="24"/>
        </w:rPr>
      </w:pPr>
    </w:p>
    <w:p>
      <w:pPr>
        <w:spacing w:afterLines="50" w:line="540" w:lineRule="exact"/>
        <w:ind w:firstLine="28"/>
        <w:rPr>
          <w:rFonts w:ascii="仿宋_GB2312" w:hAnsi="宋体" w:eastAsia="仿宋_GB2312"/>
          <w:spacing w:val="20"/>
          <w:sz w:val="24"/>
        </w:rPr>
      </w:pPr>
      <w:r>
        <w:rPr>
          <w:rFonts w:hint="eastAsia" w:ascii="仿宋_GB2312" w:eastAsia="仿宋_GB2312"/>
          <w:sz w:val="24"/>
        </w:rPr>
        <w:t xml:space="preserve">响应方名称：（公章）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6"/>
        <w:gridCol w:w="1870"/>
        <w:gridCol w:w="3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6" w:type="dxa"/>
          </w:tcPr>
          <w:p>
            <w:pPr>
              <w:spacing w:line="440" w:lineRule="exact"/>
              <w:jc w:val="center"/>
              <w:rPr>
                <w:rFonts w:ascii="仿宋_GB2312" w:eastAsia="仿宋_GB2312"/>
                <w:sz w:val="24"/>
              </w:rPr>
            </w:pPr>
            <w:r>
              <w:rPr>
                <w:rFonts w:hint="eastAsia" w:ascii="仿宋_GB2312" w:eastAsia="仿宋_GB2312"/>
                <w:sz w:val="24"/>
              </w:rPr>
              <w:t>项目</w:t>
            </w:r>
          </w:p>
        </w:tc>
        <w:tc>
          <w:tcPr>
            <w:tcW w:w="1870" w:type="dxa"/>
          </w:tcPr>
          <w:p>
            <w:pPr>
              <w:spacing w:line="440" w:lineRule="exact"/>
              <w:jc w:val="center"/>
              <w:rPr>
                <w:rFonts w:ascii="仿宋_GB2312" w:eastAsia="仿宋_GB2312"/>
                <w:sz w:val="24"/>
              </w:rPr>
            </w:pPr>
            <w:r>
              <w:rPr>
                <w:rFonts w:hint="eastAsia" w:ascii="仿宋_GB2312" w:eastAsia="仿宋_GB2312"/>
                <w:sz w:val="24"/>
              </w:rPr>
              <w:t>数量</w:t>
            </w:r>
          </w:p>
        </w:tc>
        <w:tc>
          <w:tcPr>
            <w:tcW w:w="3422" w:type="dxa"/>
          </w:tcPr>
          <w:p>
            <w:pPr>
              <w:spacing w:line="440" w:lineRule="exact"/>
              <w:jc w:val="center"/>
              <w:rPr>
                <w:rFonts w:ascii="仿宋_GB2312" w:eastAsia="仿宋_GB2312"/>
                <w:sz w:val="24"/>
              </w:rPr>
            </w:pPr>
            <w:r>
              <w:rPr>
                <w:rFonts w:hint="eastAsia" w:ascii="仿宋_GB2312" w:eastAsia="仿宋_GB2312"/>
                <w:sz w:val="24"/>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3996" w:type="dxa"/>
          </w:tcPr>
          <w:p>
            <w:pPr>
              <w:spacing w:line="440" w:lineRule="exact"/>
              <w:jc w:val="center"/>
              <w:rPr>
                <w:rFonts w:ascii="仿宋_GB2312" w:eastAsia="仿宋_GB2312"/>
                <w:sz w:val="24"/>
              </w:rPr>
            </w:pPr>
          </w:p>
        </w:tc>
        <w:tc>
          <w:tcPr>
            <w:tcW w:w="1870" w:type="dxa"/>
          </w:tcPr>
          <w:p>
            <w:pPr>
              <w:spacing w:line="440" w:lineRule="exact"/>
              <w:jc w:val="center"/>
              <w:rPr>
                <w:rFonts w:ascii="仿宋_GB2312" w:eastAsia="仿宋_GB2312"/>
                <w:sz w:val="24"/>
              </w:rPr>
            </w:pPr>
          </w:p>
        </w:tc>
        <w:tc>
          <w:tcPr>
            <w:tcW w:w="3422" w:type="dxa"/>
          </w:tcPr>
          <w:p>
            <w:pPr>
              <w:spacing w:line="440" w:lineRule="exact"/>
              <w:jc w:val="center"/>
              <w:rPr>
                <w:rFonts w:ascii="仿宋_GB2312" w:eastAsia="仿宋_GB2312"/>
                <w:sz w:val="24"/>
              </w:rPr>
            </w:pPr>
          </w:p>
          <w:p>
            <w:pPr>
              <w:tabs>
                <w:tab w:val="left" w:pos="660"/>
              </w:tabs>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3996" w:type="dxa"/>
          </w:tcPr>
          <w:p>
            <w:pPr>
              <w:spacing w:line="440" w:lineRule="exact"/>
              <w:jc w:val="center"/>
              <w:rPr>
                <w:rFonts w:ascii="仿宋_GB2312" w:eastAsia="仿宋_GB2312"/>
                <w:sz w:val="24"/>
              </w:rPr>
            </w:pPr>
          </w:p>
        </w:tc>
        <w:tc>
          <w:tcPr>
            <w:tcW w:w="1870" w:type="dxa"/>
          </w:tcPr>
          <w:p>
            <w:pPr>
              <w:spacing w:line="440" w:lineRule="exact"/>
              <w:jc w:val="center"/>
              <w:rPr>
                <w:rFonts w:ascii="仿宋_GB2312" w:eastAsia="仿宋_GB2312"/>
                <w:sz w:val="24"/>
              </w:rPr>
            </w:pPr>
          </w:p>
        </w:tc>
        <w:tc>
          <w:tcPr>
            <w:tcW w:w="3422" w:type="dxa"/>
          </w:tcPr>
          <w:p>
            <w:pPr>
              <w:spacing w:line="440" w:lineRule="exact"/>
              <w:jc w:val="center"/>
              <w:rPr>
                <w:rFonts w:ascii="仿宋_GB2312" w:eastAsia="仿宋_GB2312"/>
                <w:sz w:val="24"/>
              </w:rPr>
            </w:pPr>
          </w:p>
        </w:tc>
      </w:tr>
    </w:tbl>
    <w:p>
      <w:pPr>
        <w:spacing w:beforeLines="100" w:line="540" w:lineRule="exact"/>
        <w:rPr>
          <w:rFonts w:ascii="仿宋_GB2312" w:eastAsia="仿宋_GB2312"/>
          <w:sz w:val="24"/>
        </w:rPr>
      </w:pPr>
      <w:r>
        <w:rPr>
          <w:rFonts w:hint="eastAsia" w:ascii="仿宋_GB2312" w:eastAsia="仿宋_GB2312"/>
          <w:sz w:val="24"/>
        </w:rPr>
        <w:t>请分项目报价</w:t>
      </w:r>
    </w:p>
    <w:p>
      <w:pPr>
        <w:spacing w:beforeLines="100" w:line="540" w:lineRule="exact"/>
        <w:rPr>
          <w:rFonts w:ascii="仿宋_GB2312" w:eastAsia="仿宋_GB2312"/>
          <w:sz w:val="24"/>
          <w:u w:val="single"/>
        </w:rPr>
      </w:pPr>
      <w:r>
        <w:rPr>
          <w:rFonts w:hint="eastAsia" w:ascii="仿宋_GB2312" w:eastAsia="仿宋_GB2312"/>
          <w:sz w:val="24"/>
        </w:rPr>
        <w:t>全权代表签字：       日期：</w:t>
      </w:r>
    </w:p>
    <w:p>
      <w:pPr>
        <w:spacing w:line="360" w:lineRule="auto"/>
        <w:rPr>
          <w:rFonts w:ascii="仿宋_GB2312" w:hAnsi="宋体" w:eastAsia="仿宋_GB2312"/>
          <w:sz w:val="24"/>
        </w:rPr>
        <w:sectPr>
          <w:pgSz w:w="11906" w:h="16838"/>
          <w:pgMar w:top="1701" w:right="1418" w:bottom="1134" w:left="1418" w:header="851" w:footer="992" w:gutter="0"/>
          <w:cols w:space="720" w:num="1"/>
          <w:titlePg/>
          <w:docGrid w:linePitch="312" w:charSpace="0"/>
        </w:sectPr>
      </w:pPr>
    </w:p>
    <w:p>
      <w:pPr>
        <w:rPr>
          <w:b/>
          <w:sz w:val="24"/>
        </w:rPr>
      </w:pPr>
      <w:r>
        <w:rPr>
          <w:rFonts w:hint="eastAsia"/>
          <w:b/>
          <w:sz w:val="24"/>
        </w:rPr>
        <w:t>附件三</w:t>
      </w:r>
    </w:p>
    <w:p>
      <w:pPr>
        <w:ind w:left="540" w:firstLine="30"/>
        <w:jc w:val="center"/>
        <w:rPr>
          <w:b/>
          <w:sz w:val="24"/>
        </w:rPr>
      </w:pPr>
      <w:r>
        <w:rPr>
          <w:rFonts w:hint="eastAsia"/>
          <w:b/>
          <w:sz w:val="24"/>
        </w:rPr>
        <w:t>法定代表人授权书</w:t>
      </w:r>
    </w:p>
    <w:p>
      <w:pPr>
        <w:rPr>
          <w:sz w:val="24"/>
        </w:rPr>
      </w:pPr>
    </w:p>
    <w:p>
      <w:pPr>
        <w:rPr>
          <w:rFonts w:ascii="仿宋_GB2312" w:eastAsia="仿宋_GB2312"/>
          <w:sz w:val="24"/>
        </w:rPr>
      </w:pPr>
      <w:r>
        <w:rPr>
          <w:rFonts w:hint="eastAsia" w:ascii="仿宋_GB2312" w:eastAsia="仿宋_GB2312"/>
          <w:sz w:val="24"/>
        </w:rPr>
        <w:t>致浙江省医疗器械检验研究院：</w:t>
      </w:r>
    </w:p>
    <w:p>
      <w:pPr>
        <w:spacing w:line="600" w:lineRule="exact"/>
        <w:rPr>
          <w:rFonts w:ascii="仿宋_GB2312" w:eastAsia="仿宋_GB2312"/>
          <w:sz w:val="24"/>
        </w:rPr>
      </w:pPr>
      <w:r>
        <w:rPr>
          <w:rFonts w:hint="eastAsia" w:ascii="仿宋_GB2312" w:eastAsia="仿宋_GB2312"/>
          <w:sz w:val="24"/>
          <w:u w:val="single"/>
        </w:rPr>
        <w:t xml:space="preserve">    （响应单位全称）</w:t>
      </w:r>
      <w:r>
        <w:rPr>
          <w:rFonts w:hint="eastAsia" w:ascii="仿宋_GB2312" w:eastAsia="仿宋_GB2312"/>
          <w:sz w:val="24"/>
        </w:rPr>
        <w:t>法定代表人授权</w:t>
      </w:r>
      <w:r>
        <w:rPr>
          <w:rFonts w:hint="eastAsia" w:ascii="仿宋_GB2312" w:eastAsia="仿宋_GB2312"/>
          <w:sz w:val="24"/>
          <w:u w:val="single"/>
        </w:rPr>
        <w:t xml:space="preserve">     （全权代表姓名）</w:t>
      </w:r>
      <w:r>
        <w:rPr>
          <w:rFonts w:hint="eastAsia" w:ascii="仿宋_GB2312" w:eastAsia="仿宋_GB2312"/>
          <w:sz w:val="24"/>
        </w:rPr>
        <w:t>为全权代表，</w:t>
      </w:r>
      <w:r>
        <w:rPr>
          <w:rFonts w:hint="eastAsia" w:ascii="仿宋_GB2312" w:eastAsia="仿宋_GB2312"/>
          <w:snapToGrid w:val="0"/>
          <w:kern w:val="0"/>
          <w:sz w:val="24"/>
        </w:rPr>
        <w:t>参加贵中心组织的</w:t>
      </w:r>
      <w:r>
        <w:rPr>
          <w:rFonts w:hint="eastAsia" w:ascii="仿宋_GB2312" w:eastAsia="仿宋_GB2312"/>
          <w:snapToGrid w:val="0"/>
          <w:kern w:val="0"/>
          <w:sz w:val="24"/>
          <w:u w:val="single"/>
        </w:rPr>
        <w:t>****</w:t>
      </w:r>
      <w:r>
        <w:rPr>
          <w:rFonts w:hint="eastAsia" w:ascii="仿宋_GB2312" w:hAnsi="宋体" w:eastAsia="仿宋_GB2312"/>
          <w:snapToGrid w:val="0"/>
          <w:kern w:val="0"/>
          <w:sz w:val="24"/>
          <w:u w:val="single"/>
        </w:rPr>
        <w:t>项目</w:t>
      </w:r>
      <w:r>
        <w:rPr>
          <w:rFonts w:hint="eastAsia" w:ascii="仿宋_GB2312" w:eastAsia="仿宋_GB2312"/>
          <w:sz w:val="24"/>
        </w:rPr>
        <w:t>活动，其在本次投标过程中的一切活动本公司均予承认。</w:t>
      </w:r>
    </w:p>
    <w:p>
      <w:pPr>
        <w:rPr>
          <w:rFonts w:ascii="仿宋_GB2312" w:eastAsia="仿宋_GB2312"/>
          <w:sz w:val="24"/>
        </w:rPr>
      </w:pPr>
    </w:p>
    <w:p>
      <w:pPr>
        <w:rPr>
          <w:rFonts w:ascii="仿宋_GB2312" w:eastAsia="仿宋_GB2312"/>
          <w:sz w:val="24"/>
        </w:rPr>
      </w:pPr>
    </w:p>
    <w:p>
      <w:pPr>
        <w:ind w:left="540" w:firstLine="30"/>
        <w:jc w:val="center"/>
        <w:rPr>
          <w:rFonts w:ascii="仿宋_GB2312" w:eastAsia="仿宋_GB2312"/>
          <w:sz w:val="24"/>
        </w:rPr>
      </w:pPr>
      <w:r>
        <w:rPr>
          <w:rFonts w:hint="eastAsia" w:ascii="仿宋_GB2312" w:eastAsia="仿宋_GB2312"/>
          <w:sz w:val="24"/>
        </w:rPr>
        <w:tab/>
      </w:r>
      <w:r>
        <w:rPr>
          <w:rFonts w:hint="eastAsia" w:ascii="仿宋_GB2312" w:eastAsia="仿宋_GB2312"/>
          <w:sz w:val="24"/>
        </w:rPr>
        <w:tab/>
      </w:r>
      <w:r>
        <w:rPr>
          <w:rFonts w:hint="eastAsia" w:ascii="仿宋_GB2312" w:eastAsia="仿宋_GB2312"/>
          <w:sz w:val="24"/>
        </w:rPr>
        <w:tab/>
      </w:r>
      <w:r>
        <w:rPr>
          <w:rFonts w:hint="eastAsia" w:ascii="仿宋_GB2312" w:eastAsia="仿宋_GB2312"/>
          <w:sz w:val="24"/>
        </w:rPr>
        <w:tab/>
      </w:r>
    </w:p>
    <w:p>
      <w:pPr>
        <w:ind w:left="3090" w:firstLine="310"/>
        <w:jc w:val="center"/>
        <w:rPr>
          <w:rFonts w:ascii="仿宋_GB2312" w:eastAsia="仿宋_GB2312"/>
          <w:sz w:val="24"/>
        </w:rPr>
      </w:pPr>
      <w:r>
        <w:rPr>
          <w:rFonts w:hint="eastAsia" w:ascii="仿宋_GB2312" w:eastAsia="仿宋_GB2312"/>
          <w:sz w:val="24"/>
        </w:rPr>
        <w:t>法定代表人签字（公章）：</w:t>
      </w:r>
    </w:p>
    <w:p>
      <w:pPr>
        <w:ind w:left="540" w:firstLine="30"/>
        <w:jc w:val="center"/>
        <w:rPr>
          <w:rFonts w:ascii="仿宋_GB2312" w:eastAsia="仿宋_GB2312"/>
          <w:sz w:val="24"/>
        </w:rPr>
      </w:pPr>
    </w:p>
    <w:p>
      <w:pPr>
        <w:rPr>
          <w:rFonts w:ascii="仿宋_GB2312" w:eastAsia="仿宋_GB2312"/>
          <w:sz w:val="24"/>
        </w:rPr>
      </w:pPr>
      <w:r>
        <w:rPr>
          <w:rFonts w:hint="eastAsia" w:ascii="仿宋_GB2312" w:eastAsia="仿宋_GB2312"/>
          <w:sz w:val="24"/>
        </w:rPr>
        <w:t xml:space="preserve">                                 二〇二四年月日</w:t>
      </w:r>
    </w:p>
    <w:p>
      <w:pPr>
        <w:spacing w:line="480" w:lineRule="auto"/>
        <w:rPr>
          <w:rFonts w:ascii="仿宋_GB2312" w:eastAsia="仿宋_GB2312"/>
          <w:sz w:val="24"/>
        </w:rPr>
      </w:pPr>
      <w:r>
        <w:rPr>
          <w:rFonts w:hint="eastAsia" w:ascii="仿宋_GB2312" w:eastAsia="仿宋_GB2312"/>
          <w:sz w:val="24"/>
        </w:rPr>
        <w:t>附：</w:t>
      </w:r>
    </w:p>
    <w:p>
      <w:pPr>
        <w:spacing w:line="480" w:lineRule="auto"/>
        <w:rPr>
          <w:rFonts w:ascii="仿宋_GB2312" w:eastAsia="仿宋_GB2312"/>
          <w:sz w:val="24"/>
          <w:u w:val="single"/>
        </w:rPr>
      </w:pPr>
      <w:r>
        <w:rPr>
          <w:rFonts w:hint="eastAsia" w:ascii="仿宋_GB2312" w:eastAsia="仿宋_GB2312"/>
          <w:sz w:val="24"/>
        </w:rPr>
        <w:t xml:space="preserve">    全权代表姓名：身份证号</w:t>
      </w:r>
      <w:r>
        <w:rPr>
          <w:rFonts w:hint="eastAsia" w:ascii="仿宋_GB2312" w:eastAsia="仿宋_GB2312"/>
          <w:sz w:val="24"/>
          <w:u w:val="single"/>
        </w:rPr>
        <w:t>：   　　　　　　　　　</w:t>
      </w:r>
    </w:p>
    <w:p>
      <w:pPr>
        <w:spacing w:line="480" w:lineRule="auto"/>
        <w:rPr>
          <w:rFonts w:ascii="仿宋_GB2312" w:eastAsia="仿宋_GB2312"/>
          <w:sz w:val="24"/>
          <w:u w:val="single"/>
        </w:rPr>
      </w:pPr>
      <w:r>
        <w:rPr>
          <w:rFonts w:hint="eastAsia" w:ascii="仿宋_GB2312" w:eastAsia="仿宋_GB2312"/>
          <w:sz w:val="24"/>
        </w:rPr>
        <w:t xml:space="preserve">    职务：</w:t>
      </w:r>
    </w:p>
    <w:p>
      <w:pPr>
        <w:spacing w:line="480" w:lineRule="auto"/>
        <w:rPr>
          <w:rFonts w:ascii="仿宋_GB2312" w:eastAsia="仿宋_GB2312"/>
          <w:sz w:val="24"/>
          <w:u w:val="single"/>
        </w:rPr>
      </w:pPr>
      <w:r>
        <w:rPr>
          <w:rFonts w:hint="eastAsia" w:ascii="仿宋_GB2312" w:eastAsia="仿宋_GB2312"/>
          <w:sz w:val="24"/>
        </w:rPr>
        <w:t xml:space="preserve">    详细通讯地址：</w:t>
      </w:r>
    </w:p>
    <w:p>
      <w:pPr>
        <w:spacing w:line="480" w:lineRule="auto"/>
        <w:ind w:firstLine="600"/>
        <w:rPr>
          <w:rFonts w:ascii="仿宋_GB2312" w:eastAsia="仿宋_GB2312"/>
          <w:sz w:val="24"/>
          <w:u w:val="single"/>
        </w:rPr>
      </w:pPr>
      <w:r>
        <w:rPr>
          <w:rFonts w:hint="eastAsia" w:ascii="仿宋_GB2312" w:eastAsia="仿宋_GB2312"/>
          <w:sz w:val="24"/>
        </w:rPr>
        <w:t>传真： 电话： 邮编：</w:t>
      </w:r>
    </w:p>
    <w:p>
      <w:pPr>
        <w:rPr>
          <w:rFonts w:ascii="仿宋_GB2312" w:eastAsia="仿宋_GB2312"/>
          <w:sz w:val="24"/>
        </w:rPr>
      </w:pPr>
      <w:r>
        <w:rPr>
          <w:rFonts w:ascii="仿宋_GB2312" w:eastAsia="仿宋_GB2312"/>
          <w:sz w:val="24"/>
        </w:rPr>
        <w:pict>
          <v:shape id="_x0000_s1026" o:spid="_x0000_s1026" o:spt="202" type="#_x0000_t202" style="position:absolute;left:0pt;margin-left:18pt;margin-top:12.2pt;height:195pt;width:333pt;z-index:251659264;mso-width-relative:page;mso-height-relative:page;" coordsize="21600,21600" o:gfxdata="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1qKtdgAAAAJAQAADwAAAAAAAAAB&#10;ACAAAAAiAAAAZHJzL2Rvd25yZXYueG1sUEsBAhQAFAAAAAgAh07iQDAbIukQAgAARQQAAA4AAAAA&#10;AAAAAQAgAAAAJwEAAGRycy9lMm9Eb2MueG1sUEsFBgAAAAAGAAYAWQEAAKkFAAAAAA==&#10;">
            <v:path/>
            <v:fill focussize="0,0"/>
            <v:stroke joinstyle="miter"/>
            <v:imagedata o:title=""/>
            <o:lock v:ext="edit"/>
            <v:textbox>
              <w:txbxContent>
                <w:p>
                  <w:pPr>
                    <w:jc w:val="center"/>
                  </w:pPr>
                </w:p>
                <w:p>
                  <w:pPr>
                    <w:jc w:val="center"/>
                  </w:pPr>
                </w:p>
                <w:p>
                  <w:pPr>
                    <w:jc w:val="center"/>
                  </w:pPr>
                </w:p>
                <w:p>
                  <w:pPr>
                    <w:jc w:val="center"/>
                  </w:pPr>
                </w:p>
                <w:p>
                  <w:pPr>
                    <w:jc w:val="center"/>
                  </w:pPr>
                </w:p>
                <w:p>
                  <w:pPr>
                    <w:jc w:val="center"/>
                  </w:pPr>
                </w:p>
                <w:p>
                  <w:pPr>
                    <w:jc w:val="center"/>
                  </w:pPr>
                  <w:r>
                    <w:rPr>
                      <w:rFonts w:hint="eastAsia"/>
                    </w:rPr>
                    <w:t>此处粘贴身份证复印件</w:t>
                  </w:r>
                </w:p>
              </w:txbxContent>
            </v:textbox>
          </v:shape>
        </w:pict>
      </w:r>
    </w:p>
    <w:p>
      <w:pPr>
        <w:rPr>
          <w:b/>
          <w:sz w:val="24"/>
        </w:rPr>
      </w:pPr>
    </w:p>
    <w:p>
      <w:pPr>
        <w:rPr>
          <w:b/>
          <w:sz w:val="24"/>
        </w:rPr>
      </w:pPr>
    </w:p>
    <w:p>
      <w:pPr>
        <w:rPr>
          <w:b/>
          <w:sz w:val="24"/>
        </w:rPr>
      </w:pPr>
    </w:p>
    <w:p>
      <w:pPr>
        <w:spacing w:line="480" w:lineRule="auto"/>
        <w:jc w:val="left"/>
        <w:rPr>
          <w:rStyle w:val="12"/>
          <w:rFonts w:ascii="仿宋_GB2312" w:eastAsia="仿宋_GB2312"/>
        </w:rPr>
      </w:pPr>
    </w:p>
    <w:p>
      <w:pPr>
        <w:spacing w:line="480" w:lineRule="auto"/>
        <w:jc w:val="left"/>
        <w:rPr>
          <w:rStyle w:val="12"/>
          <w:rFonts w:ascii="仿宋_GB2312" w:eastAsia="仿宋_GB2312"/>
        </w:rPr>
      </w:pPr>
    </w:p>
    <w:p>
      <w:pPr>
        <w:spacing w:line="480" w:lineRule="auto"/>
        <w:jc w:val="left"/>
        <w:rPr>
          <w:rStyle w:val="12"/>
          <w:rFonts w:ascii="仿宋_GB2312" w:eastAsia="仿宋_GB2312"/>
        </w:rPr>
      </w:pPr>
    </w:p>
    <w:p>
      <w:pPr>
        <w:spacing w:line="480" w:lineRule="auto"/>
        <w:jc w:val="left"/>
        <w:rPr>
          <w:rStyle w:val="12"/>
          <w:rFonts w:ascii="仿宋_GB2312" w:eastAsia="仿宋_GB2312"/>
        </w:rPr>
      </w:pPr>
    </w:p>
    <w:p>
      <w:pPr>
        <w:spacing w:line="480" w:lineRule="auto"/>
        <w:jc w:val="left"/>
        <w:rPr>
          <w:rStyle w:val="12"/>
          <w:rFonts w:ascii="仿宋_GB2312" w:eastAsia="仿宋_GB2312"/>
        </w:rPr>
      </w:pPr>
    </w:p>
    <w:p>
      <w:pPr>
        <w:spacing w:line="480" w:lineRule="auto"/>
        <w:jc w:val="left"/>
        <w:rPr>
          <w:rStyle w:val="12"/>
          <w:rFonts w:ascii="仿宋_GB2312" w:eastAsia="仿宋_GB2312"/>
        </w:rPr>
      </w:pPr>
    </w:p>
    <w:p>
      <w:pPr>
        <w:spacing w:line="480" w:lineRule="auto"/>
        <w:jc w:val="left"/>
        <w:rPr>
          <w:rStyle w:val="12"/>
          <w:rFonts w:ascii="仿宋_GB2312" w:eastAsia="仿宋_GB2312"/>
        </w:rPr>
      </w:pPr>
    </w:p>
    <w:p>
      <w:pPr>
        <w:spacing w:line="480" w:lineRule="auto"/>
        <w:jc w:val="left"/>
        <w:rPr>
          <w:rStyle w:val="12"/>
          <w:rFonts w:ascii="仿宋_GB2312" w:eastAsia="仿宋_GB2312"/>
        </w:rPr>
      </w:pPr>
    </w:p>
    <w:p>
      <w:pPr>
        <w:spacing w:line="480" w:lineRule="auto"/>
        <w:jc w:val="left"/>
        <w:rPr>
          <w:rStyle w:val="12"/>
          <w:rFonts w:ascii="仿宋_GB2312" w:eastAsia="仿宋_GB2312"/>
        </w:rPr>
      </w:pPr>
      <w:r>
        <w:rPr>
          <w:rStyle w:val="12"/>
          <w:rFonts w:hint="eastAsia" w:ascii="仿宋_GB2312" w:eastAsia="仿宋_GB2312"/>
        </w:rPr>
        <w:t>附件四</w:t>
      </w:r>
    </w:p>
    <w:p>
      <w:pPr>
        <w:jc w:val="center"/>
        <w:rPr>
          <w:rFonts w:ascii="宋体" w:hAnsi="宋体"/>
          <w:b/>
          <w:color w:val="000000"/>
          <w:spacing w:val="20"/>
          <w:sz w:val="24"/>
        </w:rPr>
      </w:pPr>
      <w:r>
        <w:rPr>
          <w:rFonts w:hint="eastAsia" w:ascii="宋体" w:hAnsi="宋体"/>
          <w:b/>
          <w:color w:val="000000"/>
          <w:spacing w:val="20"/>
          <w:sz w:val="24"/>
        </w:rPr>
        <w:t>服务承诺表</w:t>
      </w:r>
    </w:p>
    <w:p>
      <w:pPr>
        <w:ind w:left="540"/>
        <w:jc w:val="center"/>
        <w:rPr>
          <w:b/>
          <w:sz w:val="24"/>
        </w:rPr>
      </w:pPr>
    </w:p>
    <w:tbl>
      <w:tblPr>
        <w:tblStyle w:val="10"/>
        <w:tblpPr w:leftFromText="180" w:rightFromText="180" w:vertAnchor="text" w:horzAnchor="margin" w:tblpXSpec="center" w:tblpY="1403"/>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28"/>
        <w:gridCol w:w="2340"/>
        <w:gridCol w:w="2700"/>
        <w:gridCol w:w="216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828" w:type="dxa"/>
            <w:vAlign w:val="center"/>
          </w:tcPr>
          <w:p>
            <w:pPr>
              <w:adjustRightInd w:val="0"/>
              <w:snapToGrid w:val="0"/>
              <w:jc w:val="center"/>
              <w:rPr>
                <w:rFonts w:ascii="宋体" w:hAnsi="宋体"/>
                <w:color w:val="000000"/>
                <w:spacing w:val="20"/>
                <w:sz w:val="24"/>
              </w:rPr>
            </w:pPr>
            <w:r>
              <w:rPr>
                <w:rFonts w:hint="eastAsia" w:ascii="宋体" w:hAnsi="宋体"/>
                <w:color w:val="000000"/>
                <w:spacing w:val="20"/>
                <w:sz w:val="24"/>
              </w:rPr>
              <w:t>序号</w:t>
            </w:r>
          </w:p>
        </w:tc>
        <w:tc>
          <w:tcPr>
            <w:tcW w:w="2340" w:type="dxa"/>
            <w:vAlign w:val="center"/>
          </w:tcPr>
          <w:p>
            <w:pPr>
              <w:adjustRightInd w:val="0"/>
              <w:snapToGrid w:val="0"/>
              <w:jc w:val="center"/>
              <w:rPr>
                <w:rFonts w:ascii="宋体" w:hAnsi="宋体"/>
                <w:color w:val="000000"/>
                <w:spacing w:val="20"/>
                <w:sz w:val="24"/>
              </w:rPr>
            </w:pPr>
            <w:r>
              <w:rPr>
                <w:rFonts w:hint="eastAsia" w:ascii="宋体" w:hAnsi="宋体"/>
                <w:color w:val="000000"/>
                <w:spacing w:val="20"/>
                <w:sz w:val="24"/>
              </w:rPr>
              <w:t>内 容</w:t>
            </w:r>
          </w:p>
        </w:tc>
        <w:tc>
          <w:tcPr>
            <w:tcW w:w="2700" w:type="dxa"/>
            <w:vAlign w:val="center"/>
          </w:tcPr>
          <w:p>
            <w:pPr>
              <w:adjustRightInd w:val="0"/>
              <w:snapToGrid w:val="0"/>
              <w:jc w:val="center"/>
              <w:rPr>
                <w:rFonts w:ascii="宋体" w:hAnsi="宋体"/>
                <w:color w:val="000000"/>
                <w:spacing w:val="20"/>
                <w:sz w:val="24"/>
              </w:rPr>
            </w:pPr>
          </w:p>
        </w:tc>
        <w:tc>
          <w:tcPr>
            <w:tcW w:w="2160" w:type="dxa"/>
            <w:vAlign w:val="center"/>
          </w:tcPr>
          <w:p>
            <w:pPr>
              <w:adjustRightInd w:val="0"/>
              <w:snapToGrid w:val="0"/>
              <w:jc w:val="center"/>
              <w:rPr>
                <w:rFonts w:ascii="宋体" w:hAnsi="宋体"/>
                <w:color w:val="000000"/>
                <w:spacing w:val="20"/>
                <w:sz w:val="24"/>
              </w:rPr>
            </w:pPr>
            <w:r>
              <w:rPr>
                <w:rFonts w:hint="eastAsia" w:ascii="宋体" w:hAnsi="宋体"/>
                <w:color w:val="000000"/>
                <w:spacing w:val="20"/>
                <w:sz w:val="24"/>
              </w:rPr>
              <w:t>服务价格</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828" w:type="dxa"/>
            <w:vAlign w:val="center"/>
          </w:tcPr>
          <w:p>
            <w:pPr>
              <w:adjustRightInd w:val="0"/>
              <w:snapToGrid w:val="0"/>
              <w:jc w:val="center"/>
              <w:rPr>
                <w:rFonts w:ascii="宋体" w:hAnsi="宋体"/>
                <w:color w:val="000000"/>
                <w:spacing w:val="20"/>
                <w:sz w:val="24"/>
              </w:rPr>
            </w:pPr>
            <w:r>
              <w:rPr>
                <w:rFonts w:hint="eastAsia" w:ascii="宋体" w:hAnsi="宋体"/>
                <w:color w:val="000000"/>
                <w:spacing w:val="20"/>
                <w:sz w:val="24"/>
              </w:rPr>
              <w:t>1</w:t>
            </w:r>
          </w:p>
        </w:tc>
        <w:tc>
          <w:tcPr>
            <w:tcW w:w="2340" w:type="dxa"/>
            <w:vAlign w:val="center"/>
          </w:tcPr>
          <w:p>
            <w:pPr>
              <w:adjustRightInd w:val="0"/>
              <w:snapToGrid w:val="0"/>
              <w:jc w:val="center"/>
              <w:rPr>
                <w:rFonts w:ascii="宋体" w:hAnsi="宋体"/>
                <w:color w:val="000000"/>
                <w:spacing w:val="20"/>
                <w:sz w:val="24"/>
              </w:rPr>
            </w:pPr>
          </w:p>
        </w:tc>
        <w:tc>
          <w:tcPr>
            <w:tcW w:w="2700" w:type="dxa"/>
            <w:vAlign w:val="center"/>
          </w:tcPr>
          <w:p>
            <w:pPr>
              <w:adjustRightInd w:val="0"/>
              <w:snapToGrid w:val="0"/>
              <w:jc w:val="center"/>
              <w:rPr>
                <w:rFonts w:ascii="宋体" w:hAnsi="宋体"/>
                <w:color w:val="000000"/>
                <w:spacing w:val="20"/>
                <w:sz w:val="24"/>
              </w:rPr>
            </w:pPr>
          </w:p>
        </w:tc>
        <w:tc>
          <w:tcPr>
            <w:tcW w:w="2160" w:type="dxa"/>
            <w:vAlign w:val="center"/>
          </w:tcPr>
          <w:p>
            <w:pPr>
              <w:adjustRightInd w:val="0"/>
              <w:snapToGrid w:val="0"/>
              <w:jc w:val="center"/>
              <w:rPr>
                <w:rFonts w:ascii="宋体" w:hAnsi="宋体"/>
                <w:color w:val="000000"/>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828" w:type="dxa"/>
            <w:vAlign w:val="center"/>
          </w:tcPr>
          <w:p>
            <w:pPr>
              <w:adjustRightInd w:val="0"/>
              <w:snapToGrid w:val="0"/>
              <w:jc w:val="center"/>
              <w:rPr>
                <w:rFonts w:ascii="宋体" w:hAnsi="宋体"/>
                <w:color w:val="000000"/>
                <w:spacing w:val="20"/>
                <w:sz w:val="24"/>
              </w:rPr>
            </w:pPr>
            <w:r>
              <w:rPr>
                <w:rFonts w:hint="eastAsia" w:ascii="宋体" w:hAnsi="宋体"/>
                <w:color w:val="000000"/>
                <w:spacing w:val="20"/>
                <w:sz w:val="24"/>
              </w:rPr>
              <w:t>2</w:t>
            </w:r>
          </w:p>
        </w:tc>
        <w:tc>
          <w:tcPr>
            <w:tcW w:w="2340" w:type="dxa"/>
            <w:vAlign w:val="center"/>
          </w:tcPr>
          <w:p>
            <w:pPr>
              <w:adjustRightInd w:val="0"/>
              <w:snapToGrid w:val="0"/>
              <w:jc w:val="center"/>
              <w:rPr>
                <w:rFonts w:ascii="宋体" w:hAnsi="宋体"/>
                <w:color w:val="000000"/>
                <w:spacing w:val="20"/>
                <w:sz w:val="24"/>
              </w:rPr>
            </w:pPr>
          </w:p>
        </w:tc>
        <w:tc>
          <w:tcPr>
            <w:tcW w:w="2700" w:type="dxa"/>
            <w:vAlign w:val="center"/>
          </w:tcPr>
          <w:p>
            <w:pPr>
              <w:adjustRightInd w:val="0"/>
              <w:snapToGrid w:val="0"/>
              <w:jc w:val="center"/>
              <w:rPr>
                <w:rFonts w:ascii="宋体" w:hAnsi="宋体"/>
                <w:color w:val="000000"/>
                <w:spacing w:val="20"/>
                <w:sz w:val="24"/>
              </w:rPr>
            </w:pPr>
          </w:p>
        </w:tc>
        <w:tc>
          <w:tcPr>
            <w:tcW w:w="2160" w:type="dxa"/>
            <w:vAlign w:val="center"/>
          </w:tcPr>
          <w:p>
            <w:pPr>
              <w:adjustRightInd w:val="0"/>
              <w:snapToGrid w:val="0"/>
              <w:jc w:val="center"/>
              <w:rPr>
                <w:rFonts w:ascii="宋体" w:hAnsi="宋体"/>
                <w:color w:val="000000"/>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828" w:type="dxa"/>
            <w:vAlign w:val="center"/>
          </w:tcPr>
          <w:p>
            <w:pPr>
              <w:adjustRightInd w:val="0"/>
              <w:snapToGrid w:val="0"/>
              <w:jc w:val="center"/>
              <w:rPr>
                <w:rFonts w:ascii="宋体" w:hAnsi="宋体"/>
                <w:color w:val="000000"/>
                <w:spacing w:val="20"/>
                <w:sz w:val="24"/>
              </w:rPr>
            </w:pPr>
            <w:r>
              <w:rPr>
                <w:rFonts w:hint="eastAsia" w:ascii="宋体" w:hAnsi="宋体"/>
                <w:color w:val="000000"/>
                <w:spacing w:val="20"/>
                <w:sz w:val="24"/>
              </w:rPr>
              <w:t>3</w:t>
            </w:r>
          </w:p>
        </w:tc>
        <w:tc>
          <w:tcPr>
            <w:tcW w:w="2340" w:type="dxa"/>
            <w:vAlign w:val="center"/>
          </w:tcPr>
          <w:p>
            <w:pPr>
              <w:adjustRightInd w:val="0"/>
              <w:snapToGrid w:val="0"/>
              <w:jc w:val="center"/>
              <w:rPr>
                <w:rFonts w:ascii="宋体" w:hAnsi="宋体"/>
                <w:color w:val="000000"/>
                <w:spacing w:val="20"/>
                <w:sz w:val="24"/>
              </w:rPr>
            </w:pPr>
          </w:p>
        </w:tc>
        <w:tc>
          <w:tcPr>
            <w:tcW w:w="2700" w:type="dxa"/>
            <w:vAlign w:val="center"/>
          </w:tcPr>
          <w:p>
            <w:pPr>
              <w:adjustRightInd w:val="0"/>
              <w:snapToGrid w:val="0"/>
              <w:jc w:val="center"/>
              <w:rPr>
                <w:rFonts w:ascii="宋体" w:hAnsi="宋体"/>
                <w:color w:val="000000"/>
                <w:spacing w:val="20"/>
                <w:sz w:val="24"/>
              </w:rPr>
            </w:pPr>
          </w:p>
        </w:tc>
        <w:tc>
          <w:tcPr>
            <w:tcW w:w="2160" w:type="dxa"/>
            <w:vAlign w:val="center"/>
          </w:tcPr>
          <w:p>
            <w:pPr>
              <w:adjustRightInd w:val="0"/>
              <w:snapToGrid w:val="0"/>
              <w:jc w:val="center"/>
              <w:rPr>
                <w:rFonts w:ascii="宋体" w:hAnsi="宋体"/>
                <w:color w:val="000000"/>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828" w:type="dxa"/>
            <w:vAlign w:val="center"/>
          </w:tcPr>
          <w:p>
            <w:pPr>
              <w:adjustRightInd w:val="0"/>
              <w:snapToGrid w:val="0"/>
              <w:jc w:val="center"/>
              <w:rPr>
                <w:rFonts w:ascii="宋体" w:hAnsi="宋体"/>
                <w:color w:val="000000"/>
                <w:spacing w:val="20"/>
                <w:sz w:val="24"/>
              </w:rPr>
            </w:pPr>
            <w:r>
              <w:rPr>
                <w:rFonts w:hint="eastAsia" w:ascii="宋体" w:hAnsi="宋体"/>
                <w:color w:val="000000"/>
                <w:spacing w:val="20"/>
                <w:sz w:val="24"/>
              </w:rPr>
              <w:t>4</w:t>
            </w:r>
          </w:p>
        </w:tc>
        <w:tc>
          <w:tcPr>
            <w:tcW w:w="2340" w:type="dxa"/>
            <w:vAlign w:val="center"/>
          </w:tcPr>
          <w:p>
            <w:pPr>
              <w:adjustRightInd w:val="0"/>
              <w:snapToGrid w:val="0"/>
              <w:jc w:val="center"/>
              <w:rPr>
                <w:rFonts w:ascii="宋体" w:hAnsi="宋体"/>
                <w:color w:val="000000"/>
                <w:spacing w:val="20"/>
                <w:sz w:val="24"/>
              </w:rPr>
            </w:pPr>
          </w:p>
        </w:tc>
        <w:tc>
          <w:tcPr>
            <w:tcW w:w="2700" w:type="dxa"/>
            <w:vAlign w:val="center"/>
          </w:tcPr>
          <w:p>
            <w:pPr>
              <w:adjustRightInd w:val="0"/>
              <w:snapToGrid w:val="0"/>
              <w:jc w:val="center"/>
              <w:rPr>
                <w:rFonts w:ascii="宋体" w:hAnsi="宋体"/>
                <w:color w:val="000000"/>
                <w:spacing w:val="20"/>
                <w:sz w:val="24"/>
              </w:rPr>
            </w:pPr>
          </w:p>
        </w:tc>
        <w:tc>
          <w:tcPr>
            <w:tcW w:w="2160" w:type="dxa"/>
            <w:vAlign w:val="center"/>
          </w:tcPr>
          <w:p>
            <w:pPr>
              <w:adjustRightInd w:val="0"/>
              <w:snapToGrid w:val="0"/>
              <w:jc w:val="center"/>
              <w:rPr>
                <w:rFonts w:ascii="宋体" w:hAnsi="宋体"/>
                <w:color w:val="000000"/>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828" w:type="dxa"/>
            <w:vAlign w:val="center"/>
          </w:tcPr>
          <w:p>
            <w:pPr>
              <w:adjustRightInd w:val="0"/>
              <w:snapToGrid w:val="0"/>
              <w:jc w:val="center"/>
              <w:rPr>
                <w:rFonts w:ascii="宋体" w:hAnsi="宋体"/>
                <w:color w:val="000000"/>
                <w:spacing w:val="20"/>
                <w:sz w:val="24"/>
              </w:rPr>
            </w:pPr>
            <w:r>
              <w:rPr>
                <w:rFonts w:hint="eastAsia" w:ascii="宋体" w:hAnsi="宋体"/>
                <w:color w:val="000000"/>
                <w:spacing w:val="20"/>
                <w:sz w:val="24"/>
              </w:rPr>
              <w:t>5</w:t>
            </w:r>
          </w:p>
        </w:tc>
        <w:tc>
          <w:tcPr>
            <w:tcW w:w="2340" w:type="dxa"/>
            <w:vAlign w:val="center"/>
          </w:tcPr>
          <w:p>
            <w:pPr>
              <w:adjustRightInd w:val="0"/>
              <w:snapToGrid w:val="0"/>
              <w:jc w:val="center"/>
              <w:rPr>
                <w:rFonts w:ascii="宋体" w:hAnsi="宋体"/>
                <w:color w:val="000000"/>
                <w:spacing w:val="20"/>
                <w:sz w:val="24"/>
              </w:rPr>
            </w:pPr>
          </w:p>
        </w:tc>
        <w:tc>
          <w:tcPr>
            <w:tcW w:w="2700" w:type="dxa"/>
            <w:vAlign w:val="center"/>
          </w:tcPr>
          <w:p>
            <w:pPr>
              <w:adjustRightInd w:val="0"/>
              <w:snapToGrid w:val="0"/>
              <w:jc w:val="center"/>
              <w:rPr>
                <w:rFonts w:ascii="宋体" w:hAnsi="宋体"/>
                <w:color w:val="000000"/>
                <w:spacing w:val="20"/>
                <w:sz w:val="24"/>
              </w:rPr>
            </w:pPr>
          </w:p>
        </w:tc>
        <w:tc>
          <w:tcPr>
            <w:tcW w:w="2160" w:type="dxa"/>
            <w:vAlign w:val="center"/>
          </w:tcPr>
          <w:p>
            <w:pPr>
              <w:adjustRightInd w:val="0"/>
              <w:snapToGrid w:val="0"/>
              <w:jc w:val="center"/>
              <w:rPr>
                <w:rFonts w:ascii="宋体" w:hAnsi="宋体"/>
                <w:color w:val="000000"/>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828" w:type="dxa"/>
            <w:vAlign w:val="center"/>
          </w:tcPr>
          <w:p>
            <w:pPr>
              <w:adjustRightInd w:val="0"/>
              <w:snapToGrid w:val="0"/>
              <w:jc w:val="center"/>
              <w:rPr>
                <w:rFonts w:ascii="宋体" w:hAnsi="宋体"/>
                <w:color w:val="000000"/>
                <w:spacing w:val="20"/>
                <w:sz w:val="24"/>
              </w:rPr>
            </w:pPr>
            <w:r>
              <w:rPr>
                <w:rFonts w:hint="eastAsia" w:ascii="宋体" w:hAnsi="宋体"/>
                <w:color w:val="000000"/>
                <w:spacing w:val="20"/>
                <w:sz w:val="24"/>
              </w:rPr>
              <w:t>6</w:t>
            </w:r>
          </w:p>
        </w:tc>
        <w:tc>
          <w:tcPr>
            <w:tcW w:w="2340" w:type="dxa"/>
            <w:vAlign w:val="center"/>
          </w:tcPr>
          <w:p>
            <w:pPr>
              <w:adjustRightInd w:val="0"/>
              <w:snapToGrid w:val="0"/>
              <w:jc w:val="center"/>
              <w:rPr>
                <w:rFonts w:ascii="宋体" w:hAnsi="宋体"/>
                <w:color w:val="000000"/>
                <w:spacing w:val="20"/>
                <w:sz w:val="24"/>
              </w:rPr>
            </w:pPr>
          </w:p>
        </w:tc>
        <w:tc>
          <w:tcPr>
            <w:tcW w:w="2700" w:type="dxa"/>
            <w:vAlign w:val="center"/>
          </w:tcPr>
          <w:p>
            <w:pPr>
              <w:adjustRightInd w:val="0"/>
              <w:snapToGrid w:val="0"/>
              <w:jc w:val="center"/>
              <w:rPr>
                <w:rFonts w:ascii="宋体" w:hAnsi="宋体"/>
                <w:color w:val="000000"/>
                <w:spacing w:val="20"/>
                <w:sz w:val="24"/>
              </w:rPr>
            </w:pPr>
          </w:p>
        </w:tc>
        <w:tc>
          <w:tcPr>
            <w:tcW w:w="2160" w:type="dxa"/>
            <w:vAlign w:val="center"/>
          </w:tcPr>
          <w:p>
            <w:pPr>
              <w:adjustRightInd w:val="0"/>
              <w:snapToGrid w:val="0"/>
              <w:jc w:val="center"/>
              <w:rPr>
                <w:rFonts w:ascii="宋体" w:hAnsi="宋体"/>
                <w:color w:val="000000"/>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828" w:type="dxa"/>
            <w:vAlign w:val="center"/>
          </w:tcPr>
          <w:p>
            <w:pPr>
              <w:adjustRightInd w:val="0"/>
              <w:snapToGrid w:val="0"/>
              <w:jc w:val="center"/>
              <w:rPr>
                <w:rFonts w:ascii="宋体" w:hAnsi="宋体"/>
                <w:color w:val="000000"/>
                <w:spacing w:val="20"/>
                <w:sz w:val="24"/>
              </w:rPr>
            </w:pPr>
          </w:p>
        </w:tc>
        <w:tc>
          <w:tcPr>
            <w:tcW w:w="2340" w:type="dxa"/>
            <w:vAlign w:val="center"/>
          </w:tcPr>
          <w:p>
            <w:pPr>
              <w:adjustRightInd w:val="0"/>
              <w:snapToGrid w:val="0"/>
              <w:jc w:val="center"/>
              <w:rPr>
                <w:rFonts w:ascii="宋体" w:hAnsi="宋体"/>
                <w:color w:val="000000"/>
                <w:spacing w:val="20"/>
                <w:sz w:val="24"/>
              </w:rPr>
            </w:pPr>
          </w:p>
        </w:tc>
        <w:tc>
          <w:tcPr>
            <w:tcW w:w="2700" w:type="dxa"/>
            <w:vAlign w:val="center"/>
          </w:tcPr>
          <w:p>
            <w:pPr>
              <w:adjustRightInd w:val="0"/>
              <w:snapToGrid w:val="0"/>
              <w:jc w:val="center"/>
              <w:rPr>
                <w:rFonts w:ascii="宋体" w:hAnsi="宋体"/>
                <w:color w:val="000000"/>
                <w:spacing w:val="20"/>
                <w:sz w:val="24"/>
              </w:rPr>
            </w:pPr>
          </w:p>
        </w:tc>
        <w:tc>
          <w:tcPr>
            <w:tcW w:w="2160" w:type="dxa"/>
            <w:vAlign w:val="center"/>
          </w:tcPr>
          <w:p>
            <w:pPr>
              <w:adjustRightInd w:val="0"/>
              <w:snapToGrid w:val="0"/>
              <w:jc w:val="center"/>
              <w:rPr>
                <w:rFonts w:ascii="宋体" w:hAnsi="宋体"/>
                <w:color w:val="000000"/>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828" w:type="dxa"/>
            <w:vAlign w:val="center"/>
          </w:tcPr>
          <w:p>
            <w:pPr>
              <w:adjustRightInd w:val="0"/>
              <w:snapToGrid w:val="0"/>
              <w:jc w:val="center"/>
              <w:rPr>
                <w:rFonts w:ascii="仿宋_GB2312" w:hAnsi="宋体" w:eastAsia="仿宋_GB2312"/>
                <w:color w:val="000000"/>
                <w:spacing w:val="20"/>
                <w:sz w:val="24"/>
              </w:rPr>
            </w:pPr>
          </w:p>
        </w:tc>
        <w:tc>
          <w:tcPr>
            <w:tcW w:w="2340" w:type="dxa"/>
            <w:vAlign w:val="center"/>
          </w:tcPr>
          <w:p>
            <w:pPr>
              <w:adjustRightInd w:val="0"/>
              <w:snapToGrid w:val="0"/>
              <w:jc w:val="center"/>
              <w:rPr>
                <w:rFonts w:ascii="仿宋_GB2312" w:hAnsi="宋体" w:eastAsia="仿宋_GB2312"/>
                <w:color w:val="000000"/>
                <w:spacing w:val="20"/>
                <w:sz w:val="24"/>
              </w:rPr>
            </w:pPr>
          </w:p>
        </w:tc>
        <w:tc>
          <w:tcPr>
            <w:tcW w:w="2700" w:type="dxa"/>
            <w:vAlign w:val="center"/>
          </w:tcPr>
          <w:p>
            <w:pPr>
              <w:adjustRightInd w:val="0"/>
              <w:snapToGrid w:val="0"/>
              <w:jc w:val="center"/>
              <w:rPr>
                <w:rFonts w:ascii="仿宋_GB2312" w:hAnsi="宋体" w:eastAsia="仿宋_GB2312"/>
                <w:color w:val="000000"/>
                <w:spacing w:val="20"/>
                <w:sz w:val="24"/>
              </w:rPr>
            </w:pPr>
          </w:p>
        </w:tc>
        <w:tc>
          <w:tcPr>
            <w:tcW w:w="2160" w:type="dxa"/>
            <w:vAlign w:val="center"/>
          </w:tcPr>
          <w:p>
            <w:pPr>
              <w:adjustRightInd w:val="0"/>
              <w:snapToGrid w:val="0"/>
              <w:jc w:val="center"/>
              <w:rPr>
                <w:rFonts w:ascii="仿宋_GB2312" w:hAnsi="宋体" w:eastAsia="仿宋_GB2312"/>
                <w:color w:val="000000"/>
                <w:spacing w:val="20"/>
                <w:sz w:val="24"/>
              </w:rPr>
            </w:pPr>
          </w:p>
        </w:tc>
      </w:tr>
    </w:tbl>
    <w:p>
      <w:pPr>
        <w:adjustRightInd w:val="0"/>
        <w:snapToGrid w:val="0"/>
        <w:spacing w:afterLines="50"/>
        <w:rPr>
          <w:rFonts w:ascii="仿宋_GB2312" w:hAnsi="宋体" w:eastAsia="仿宋_GB2312"/>
          <w:spacing w:val="20"/>
          <w:sz w:val="24"/>
        </w:rPr>
      </w:pPr>
      <w:r>
        <w:rPr>
          <w:rFonts w:hint="eastAsia" w:ascii="仿宋_GB2312" w:hAnsi="宋体" w:eastAsia="仿宋_GB2312"/>
          <w:spacing w:val="20"/>
          <w:sz w:val="24"/>
        </w:rPr>
        <w:t>响应方名称（公章）：</w:t>
      </w:r>
    </w:p>
    <w:p>
      <w:pPr>
        <w:adjustRightInd w:val="0"/>
        <w:snapToGrid w:val="0"/>
        <w:spacing w:line="360" w:lineRule="auto"/>
        <w:ind w:left="280" w:hanging="280" w:hangingChars="100"/>
        <w:rPr>
          <w:rFonts w:ascii="仿宋_GB2312" w:hAnsi="宋体" w:eastAsia="仿宋_GB2312"/>
          <w:spacing w:val="20"/>
          <w:sz w:val="24"/>
        </w:rPr>
      </w:pPr>
      <w:r>
        <w:rPr>
          <w:rFonts w:hint="eastAsia" w:ascii="仿宋_GB2312" w:hAnsi="宋体" w:eastAsia="仿宋_GB2312"/>
          <w:spacing w:val="20"/>
          <w:sz w:val="24"/>
        </w:rPr>
        <w:t>注：对照本采购公告第二部分采购内容与要求</w:t>
      </w:r>
    </w:p>
    <w:p>
      <w:pPr>
        <w:adjustRightInd w:val="0"/>
        <w:snapToGrid w:val="0"/>
        <w:rPr>
          <w:rFonts w:ascii="仿宋_GB2312" w:hAnsi="宋体" w:eastAsia="仿宋_GB2312"/>
          <w:sz w:val="24"/>
        </w:rPr>
      </w:pPr>
    </w:p>
    <w:p>
      <w:pPr>
        <w:adjustRightInd w:val="0"/>
        <w:snapToGrid w:val="0"/>
        <w:spacing w:line="360" w:lineRule="auto"/>
        <w:rPr>
          <w:rFonts w:ascii="仿宋_GB2312" w:hAnsi="宋体" w:eastAsia="仿宋_GB2312"/>
          <w:spacing w:val="20"/>
          <w:sz w:val="24"/>
        </w:rPr>
      </w:pPr>
    </w:p>
    <w:p>
      <w:pPr>
        <w:adjustRightInd w:val="0"/>
        <w:snapToGrid w:val="0"/>
        <w:spacing w:line="360" w:lineRule="auto"/>
        <w:rPr>
          <w:rFonts w:ascii="仿宋_GB2312" w:hAnsi="宋体" w:eastAsia="仿宋_GB2312"/>
          <w:spacing w:val="20"/>
          <w:sz w:val="24"/>
        </w:rPr>
      </w:pPr>
    </w:p>
    <w:p>
      <w:pPr>
        <w:adjustRightInd w:val="0"/>
        <w:snapToGrid w:val="0"/>
        <w:spacing w:line="360" w:lineRule="auto"/>
        <w:jc w:val="center"/>
        <w:rPr>
          <w:rFonts w:ascii="仿宋_GB2312" w:hAnsi="宋体" w:eastAsia="仿宋_GB2312"/>
          <w:spacing w:val="20"/>
          <w:sz w:val="24"/>
        </w:rPr>
      </w:pPr>
      <w:r>
        <w:rPr>
          <w:rFonts w:hint="eastAsia" w:ascii="仿宋_GB2312" w:hAnsi="宋体" w:eastAsia="仿宋_GB2312"/>
          <w:spacing w:val="20"/>
          <w:sz w:val="24"/>
        </w:rPr>
        <w:t xml:space="preserve">   全权代表签字</w:t>
      </w:r>
    </w:p>
    <w:p>
      <w:pPr>
        <w:adjustRightInd w:val="0"/>
        <w:snapToGrid w:val="0"/>
        <w:jc w:val="center"/>
        <w:rPr>
          <w:rFonts w:ascii="仿宋_GB2312" w:hAnsi="宋体" w:eastAsia="仿宋_GB2312"/>
          <w:spacing w:val="20"/>
          <w:sz w:val="24"/>
        </w:rPr>
      </w:pPr>
    </w:p>
    <w:p>
      <w:pPr>
        <w:adjustRightInd w:val="0"/>
        <w:snapToGrid w:val="0"/>
        <w:jc w:val="center"/>
        <w:rPr>
          <w:rFonts w:ascii="仿宋_GB2312" w:hAnsi="宋体" w:eastAsia="仿宋_GB2312"/>
          <w:sz w:val="24"/>
          <w:u w:val="single"/>
        </w:rPr>
      </w:pPr>
      <w:r>
        <w:rPr>
          <w:rFonts w:hint="eastAsia" w:ascii="仿宋_GB2312" w:hAnsi="宋体" w:eastAsia="仿宋_GB2312"/>
          <w:spacing w:val="20"/>
          <w:sz w:val="24"/>
        </w:rPr>
        <w:t xml:space="preserve">         日 期</w:t>
      </w:r>
    </w:p>
    <w:p>
      <w:r>
        <w:br w:type="page"/>
      </w:r>
    </w:p>
    <w:p>
      <w:pPr>
        <w:pStyle w:val="2"/>
        <w:sectPr>
          <w:pgSz w:w="11906" w:h="16838"/>
          <w:pgMar w:top="1440" w:right="1800" w:bottom="1440" w:left="1800" w:header="851" w:footer="992" w:gutter="0"/>
          <w:cols w:space="720" w:num="1"/>
          <w:docGrid w:type="lines" w:linePitch="312" w:charSpace="0"/>
        </w:sectPr>
      </w:pPr>
    </w:p>
    <w:p>
      <w:pPr>
        <w:pStyle w:val="3"/>
      </w:pPr>
      <w:r>
        <w:rPr>
          <w:rFonts w:hint="eastAsia"/>
        </w:rPr>
        <w:t>附件一：</w:t>
      </w:r>
    </w:p>
    <w:tbl>
      <w:tblPr>
        <w:tblStyle w:val="10"/>
        <w:tblW w:w="15120" w:type="dxa"/>
        <w:jc w:val="center"/>
        <w:tblLayout w:type="autofit"/>
        <w:tblCellMar>
          <w:top w:w="0" w:type="dxa"/>
          <w:left w:w="108" w:type="dxa"/>
          <w:bottom w:w="0" w:type="dxa"/>
          <w:right w:w="108" w:type="dxa"/>
        </w:tblCellMar>
      </w:tblPr>
      <w:tblGrid>
        <w:gridCol w:w="720"/>
        <w:gridCol w:w="1416"/>
        <w:gridCol w:w="2354"/>
        <w:gridCol w:w="2369"/>
        <w:gridCol w:w="525"/>
        <w:gridCol w:w="1110"/>
        <w:gridCol w:w="855"/>
        <w:gridCol w:w="1379"/>
        <w:gridCol w:w="989"/>
        <w:gridCol w:w="1034"/>
        <w:gridCol w:w="989"/>
        <w:gridCol w:w="1380"/>
      </w:tblGrid>
      <w:tr>
        <w:tblPrEx>
          <w:tblCellMar>
            <w:top w:w="0" w:type="dxa"/>
            <w:left w:w="108" w:type="dxa"/>
            <w:bottom w:w="0" w:type="dxa"/>
            <w:right w:w="108" w:type="dxa"/>
          </w:tblCellMar>
        </w:tblPrEx>
        <w:trPr>
          <w:trHeight w:val="1110" w:hRule="atLeast"/>
          <w:jc w:val="center"/>
        </w:trPr>
        <w:tc>
          <w:tcPr>
            <w:tcW w:w="15120" w:type="dxa"/>
            <w:gridSpan w:val="12"/>
            <w:tcBorders>
              <w:top w:val="nil"/>
              <w:left w:val="nil"/>
              <w:bottom w:val="nil"/>
              <w:right w:val="nil"/>
            </w:tcBorders>
            <w:shd w:val="clear" w:color="FFFFFF" w:fill="FFFFFF"/>
            <w:vAlign w:val="center"/>
          </w:tcPr>
          <w:p>
            <w:pPr>
              <w:widowControl/>
              <w:jc w:val="center"/>
              <w:textAlignment w:val="center"/>
              <w:rPr>
                <w:rFonts w:ascii="宋体" w:hAnsi="宋体" w:cs="宋体"/>
                <w:b/>
                <w:bCs/>
                <w:color w:val="000000"/>
                <w:sz w:val="40"/>
                <w:szCs w:val="40"/>
              </w:rPr>
            </w:pPr>
            <w:r>
              <w:rPr>
                <w:rFonts w:hint="eastAsia" w:ascii="宋体" w:hAnsi="宋体" w:cs="宋体"/>
                <w:b/>
                <w:bCs/>
                <w:color w:val="000000"/>
                <w:kern w:val="0"/>
                <w:sz w:val="40"/>
                <w:szCs w:val="40"/>
              </w:rPr>
              <w:t>表1-2 分部分项工程量清单及计价表(  号清单)</w:t>
            </w:r>
          </w:p>
        </w:tc>
      </w:tr>
      <w:tr>
        <w:tblPrEx>
          <w:tblCellMar>
            <w:top w:w="0" w:type="dxa"/>
            <w:left w:w="108" w:type="dxa"/>
            <w:bottom w:w="0" w:type="dxa"/>
            <w:right w:w="108" w:type="dxa"/>
          </w:tblCellMar>
        </w:tblPrEx>
        <w:trPr>
          <w:trHeight w:val="570" w:hRule="atLeast"/>
          <w:jc w:val="center"/>
        </w:trPr>
        <w:tc>
          <w:tcPr>
            <w:tcW w:w="6855" w:type="dxa"/>
            <w:gridSpan w:val="4"/>
            <w:tcBorders>
              <w:top w:val="nil"/>
              <w:left w:val="nil"/>
              <w:bottom w:val="nil"/>
              <w:right w:val="nil"/>
            </w:tcBorders>
            <w:shd w:val="clear" w:color="FFFFFF" w:fill="FFFFFF"/>
            <w:vAlign w:val="bottom"/>
          </w:tcPr>
          <w:p>
            <w:pPr>
              <w:widowControl/>
              <w:jc w:val="left"/>
              <w:textAlignment w:val="bottom"/>
              <w:rPr>
                <w:rFonts w:ascii="宋体" w:hAnsi="宋体" w:cs="宋体"/>
                <w:color w:val="000000"/>
                <w:sz w:val="20"/>
                <w:szCs w:val="20"/>
              </w:rPr>
            </w:pPr>
            <w:r>
              <w:rPr>
                <w:rFonts w:hint="eastAsia" w:ascii="宋体" w:hAnsi="宋体" w:cs="宋体"/>
                <w:color w:val="000000"/>
                <w:kern w:val="0"/>
                <w:sz w:val="20"/>
                <w:szCs w:val="20"/>
              </w:rPr>
              <w:t>单位工程及专业工程名称：临平分院三楼吊顶-房屋建筑与装饰</w:t>
            </w:r>
          </w:p>
        </w:tc>
        <w:tc>
          <w:tcPr>
            <w:tcW w:w="3870" w:type="dxa"/>
            <w:gridSpan w:val="4"/>
            <w:tcBorders>
              <w:top w:val="nil"/>
              <w:left w:val="nil"/>
              <w:bottom w:val="nil"/>
              <w:right w:val="nil"/>
            </w:tcBorders>
            <w:shd w:val="clear" w:color="FFFFFF" w:fill="FFFFFF"/>
            <w:vAlign w:val="bottom"/>
          </w:tcPr>
          <w:p>
            <w:pPr>
              <w:rPr>
                <w:rFonts w:ascii="宋体" w:hAnsi="宋体" w:cs="宋体"/>
                <w:color w:val="000000"/>
                <w:sz w:val="20"/>
                <w:szCs w:val="20"/>
              </w:rPr>
            </w:pPr>
          </w:p>
        </w:tc>
        <w:tc>
          <w:tcPr>
            <w:tcW w:w="4395" w:type="dxa"/>
            <w:gridSpan w:val="4"/>
            <w:tcBorders>
              <w:top w:val="nil"/>
              <w:left w:val="nil"/>
              <w:bottom w:val="nil"/>
              <w:right w:val="nil"/>
            </w:tcBorders>
            <w:shd w:val="clear" w:color="FFFFFF" w:fill="FFFFFF"/>
            <w:vAlign w:val="bottom"/>
          </w:tcPr>
          <w:p>
            <w:pPr>
              <w:widowControl/>
              <w:jc w:val="right"/>
              <w:textAlignment w:val="bottom"/>
              <w:rPr>
                <w:rFonts w:ascii="宋体" w:hAnsi="宋体" w:cs="宋体"/>
                <w:color w:val="000000"/>
                <w:sz w:val="20"/>
                <w:szCs w:val="20"/>
              </w:rPr>
            </w:pPr>
            <w:r>
              <w:rPr>
                <w:rFonts w:hint="eastAsia" w:ascii="宋体" w:hAnsi="宋体" w:cs="宋体"/>
                <w:color w:val="000000"/>
                <w:kern w:val="0"/>
                <w:sz w:val="20"/>
                <w:szCs w:val="20"/>
              </w:rPr>
              <w:t>第 1 页  共 1 页</w:t>
            </w:r>
          </w:p>
        </w:tc>
      </w:tr>
      <w:tr>
        <w:tblPrEx>
          <w:tblCellMar>
            <w:top w:w="0" w:type="dxa"/>
            <w:left w:w="108" w:type="dxa"/>
            <w:bottom w:w="0" w:type="dxa"/>
            <w:right w:w="108" w:type="dxa"/>
          </w:tblCellMar>
        </w:tblPrEx>
        <w:trPr>
          <w:trHeight w:val="570" w:hRule="atLeast"/>
          <w:jc w:val="center"/>
        </w:trPr>
        <w:tc>
          <w:tcPr>
            <w:tcW w:w="72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序号</w:t>
            </w:r>
          </w:p>
        </w:tc>
        <w:tc>
          <w:tcPr>
            <w:tcW w:w="14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项目编码</w:t>
            </w:r>
          </w:p>
        </w:tc>
        <w:tc>
          <w:tcPr>
            <w:tcW w:w="235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项目名称</w:t>
            </w:r>
          </w:p>
        </w:tc>
        <w:tc>
          <w:tcPr>
            <w:tcW w:w="237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项目特征描述</w:t>
            </w:r>
          </w:p>
        </w:tc>
        <w:tc>
          <w:tcPr>
            <w:tcW w:w="52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计量单位</w:t>
            </w:r>
          </w:p>
        </w:tc>
        <w:tc>
          <w:tcPr>
            <w:tcW w:w="11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工程量</w:t>
            </w:r>
          </w:p>
        </w:tc>
        <w:tc>
          <w:tcPr>
            <w:tcW w:w="85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综合单价(元)</w:t>
            </w:r>
          </w:p>
        </w:tc>
        <w:tc>
          <w:tcPr>
            <w:tcW w:w="13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合价(元)</w:t>
            </w:r>
          </w:p>
        </w:tc>
        <w:tc>
          <w:tcPr>
            <w:tcW w:w="301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其中(元)</w:t>
            </w:r>
          </w:p>
        </w:tc>
        <w:tc>
          <w:tcPr>
            <w:tcW w:w="1380"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备注</w:t>
            </w:r>
          </w:p>
        </w:tc>
      </w:tr>
      <w:tr>
        <w:tblPrEx>
          <w:tblCellMar>
            <w:top w:w="0" w:type="dxa"/>
            <w:left w:w="108" w:type="dxa"/>
            <w:bottom w:w="0" w:type="dxa"/>
            <w:right w:w="108" w:type="dxa"/>
          </w:tblCellMar>
        </w:tblPrEx>
        <w:trPr>
          <w:trHeight w:val="570" w:hRule="atLeast"/>
          <w:jc w:val="center"/>
        </w:trPr>
        <w:tc>
          <w:tcPr>
            <w:tcW w:w="72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cs="宋体"/>
                <w:b/>
                <w:bCs/>
                <w:color w:val="000000"/>
                <w:sz w:val="20"/>
                <w:szCs w:val="20"/>
              </w:rPr>
            </w:pPr>
          </w:p>
        </w:tc>
        <w:tc>
          <w:tcPr>
            <w:tcW w:w="14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cs="宋体"/>
                <w:b/>
                <w:bCs/>
                <w:color w:val="000000"/>
                <w:sz w:val="20"/>
                <w:szCs w:val="20"/>
              </w:rPr>
            </w:pPr>
          </w:p>
        </w:tc>
        <w:tc>
          <w:tcPr>
            <w:tcW w:w="235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cs="宋体"/>
                <w:b/>
                <w:bCs/>
                <w:color w:val="000000"/>
                <w:sz w:val="20"/>
                <w:szCs w:val="20"/>
              </w:rPr>
            </w:pPr>
          </w:p>
        </w:tc>
        <w:tc>
          <w:tcPr>
            <w:tcW w:w="237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cs="宋体"/>
                <w:b/>
                <w:bCs/>
                <w:color w:val="000000"/>
                <w:sz w:val="20"/>
                <w:szCs w:val="20"/>
              </w:rPr>
            </w:pPr>
          </w:p>
        </w:tc>
        <w:tc>
          <w:tcPr>
            <w:tcW w:w="5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cs="宋体"/>
                <w:b/>
                <w:bCs/>
                <w:color w:val="000000"/>
                <w:sz w:val="20"/>
                <w:szCs w:val="20"/>
              </w:rPr>
            </w:pPr>
          </w:p>
        </w:tc>
        <w:tc>
          <w:tcPr>
            <w:tcW w:w="11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cs="宋体"/>
                <w:b/>
                <w:bCs/>
                <w:color w:val="000000"/>
                <w:sz w:val="20"/>
                <w:szCs w:val="20"/>
              </w:rPr>
            </w:pPr>
          </w:p>
        </w:tc>
        <w:tc>
          <w:tcPr>
            <w:tcW w:w="85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cs="宋体"/>
                <w:b/>
                <w:bCs/>
                <w:color w:val="000000"/>
                <w:sz w:val="20"/>
                <w:szCs w:val="20"/>
              </w:rPr>
            </w:pPr>
          </w:p>
        </w:tc>
        <w:tc>
          <w:tcPr>
            <w:tcW w:w="13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cs="宋体"/>
                <w:b/>
                <w:bCs/>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人工费</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机械费</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管理费</w:t>
            </w:r>
          </w:p>
        </w:tc>
        <w:tc>
          <w:tcPr>
            <w:tcW w:w="1380"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cs="宋体"/>
                <w:b/>
                <w:bCs/>
                <w:color w:val="000000"/>
                <w:sz w:val="20"/>
                <w:szCs w:val="20"/>
              </w:rPr>
            </w:pPr>
          </w:p>
        </w:tc>
      </w:tr>
      <w:tr>
        <w:tblPrEx>
          <w:tblCellMar>
            <w:top w:w="0" w:type="dxa"/>
            <w:left w:w="108" w:type="dxa"/>
            <w:bottom w:w="0" w:type="dxa"/>
            <w:right w:w="108" w:type="dxa"/>
          </w:tblCellMar>
        </w:tblPrEx>
        <w:trPr>
          <w:trHeight w:val="36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right"/>
              <w:rPr>
                <w:rFonts w:ascii="宋体" w:hAnsi="宋体" w:cs="宋体"/>
                <w:color w:val="000000"/>
                <w:sz w:val="20"/>
                <w:szCs w:val="20"/>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cs="宋体"/>
                <w:color w:val="000000"/>
                <w:sz w:val="20"/>
                <w:szCs w:val="20"/>
              </w:rPr>
            </w:pP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[请输入分部名称]</w:t>
            </w: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cs="宋体"/>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cs="宋体"/>
                <w:color w:val="000000"/>
                <w:sz w:val="20"/>
                <w:szCs w:val="20"/>
              </w:rPr>
            </w:pP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cs="宋体"/>
                <w:color w:val="000000"/>
                <w:sz w:val="20"/>
                <w:szCs w:val="20"/>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cs="宋体"/>
                <w:color w:val="000000"/>
                <w:sz w:val="20"/>
                <w:szCs w:val="20"/>
              </w:rPr>
            </w:pPr>
          </w:p>
        </w:tc>
      </w:tr>
      <w:tr>
        <w:tblPrEx>
          <w:tblCellMar>
            <w:top w:w="0" w:type="dxa"/>
            <w:left w:w="108" w:type="dxa"/>
            <w:bottom w:w="0" w:type="dxa"/>
            <w:right w:w="108" w:type="dxa"/>
          </w:tblCellMar>
        </w:tblPrEx>
        <w:trPr>
          <w:trHeight w:val="235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011208001001</w:t>
            </w: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柱（梁）面装饰</w:t>
            </w: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石膏板柱：(1).防火阻燃木龙骨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(2).18mm厚防火阻燃细木工板</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(3).9.5mm厚石膏板，板缝贴胶带、点绣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(4).具体做法详见图纸并满足甲方要求（包含暗门制作）</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m2</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rPr>
              <w:t>103.86</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cs="宋体"/>
                <w:color w:val="000000"/>
                <w:sz w:val="20"/>
                <w:szCs w:val="20"/>
              </w:rPr>
            </w:pPr>
          </w:p>
        </w:tc>
      </w:tr>
      <w:tr>
        <w:tblPrEx>
          <w:tblCellMar>
            <w:top w:w="0" w:type="dxa"/>
            <w:left w:w="108" w:type="dxa"/>
            <w:bottom w:w="0" w:type="dxa"/>
            <w:right w:w="108" w:type="dxa"/>
          </w:tblCellMar>
        </w:tblPrEx>
        <w:trPr>
          <w:trHeight w:val="108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011407001001</w:t>
            </w: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墙面喷刷涂料</w:t>
            </w: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(1).腻子两遍</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(2).白色无机涂料两遍</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(3).按图施工，包含完成此项清单所有内容</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m2</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rPr>
              <w:t>103.86</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cs="宋体"/>
                <w:color w:val="000000"/>
                <w:sz w:val="20"/>
                <w:szCs w:val="20"/>
              </w:rPr>
            </w:pPr>
          </w:p>
        </w:tc>
      </w:tr>
      <w:tr>
        <w:tblPrEx>
          <w:tblCellMar>
            <w:top w:w="0" w:type="dxa"/>
            <w:left w:w="108" w:type="dxa"/>
            <w:bottom w:w="0" w:type="dxa"/>
            <w:right w:w="108" w:type="dxa"/>
          </w:tblCellMar>
        </w:tblPrEx>
        <w:trPr>
          <w:trHeight w:val="57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011302001001</w:t>
            </w: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吊顶天棚</w:t>
            </w: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(1).C60上人轻钢龙骨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(2).600*600*15mm矿棉板</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m2</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rPr>
              <w:t>824.16</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cs="宋体"/>
                <w:color w:val="000000"/>
                <w:sz w:val="20"/>
                <w:szCs w:val="20"/>
              </w:rPr>
            </w:pPr>
          </w:p>
        </w:tc>
      </w:tr>
      <w:tr>
        <w:tblPrEx>
          <w:tblCellMar>
            <w:top w:w="0" w:type="dxa"/>
            <w:left w:w="108" w:type="dxa"/>
            <w:bottom w:w="0" w:type="dxa"/>
            <w:right w:w="108" w:type="dxa"/>
          </w:tblCellMar>
        </w:tblPrEx>
        <w:trPr>
          <w:trHeight w:val="210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011302001002</w:t>
            </w: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吊顶天棚</w:t>
            </w: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(1).C50上人轻钢龙骨，10mm钢筋吊杆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(2).双层9.5mm厚纸面石膏板 ，板缝贴胶带、点锈</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(3).腻子两遍</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(4).白色无机涂料两遍</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(5).按图施工，包含完成此项清单所有内容</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m2</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rPr>
              <w:t>307.65</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cs="宋体"/>
                <w:color w:val="000000"/>
                <w:sz w:val="20"/>
                <w:szCs w:val="20"/>
              </w:rPr>
            </w:pPr>
          </w:p>
        </w:tc>
      </w:tr>
      <w:tr>
        <w:tblPrEx>
          <w:tblCellMar>
            <w:top w:w="0" w:type="dxa"/>
            <w:left w:w="108" w:type="dxa"/>
            <w:bottom w:w="0" w:type="dxa"/>
            <w:right w:w="108" w:type="dxa"/>
          </w:tblCellMar>
        </w:tblPrEx>
        <w:trPr>
          <w:trHeight w:val="210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011302001003</w:t>
            </w: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吊顶天棚（侧面）</w:t>
            </w: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(1).C50上人轻钢龙骨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(2).双层9.5mm厚纸面石膏板 ，板缝贴胶带、点锈</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(3).10mm厚CCA基层板</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(4).腻子两遍</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(5).白色无机涂料两遍</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(6).按图施工，包含完成此项清单所有内容</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m2</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rPr>
              <w:t>68.65</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cs="宋体"/>
                <w:color w:val="000000"/>
                <w:sz w:val="20"/>
                <w:szCs w:val="20"/>
              </w:rPr>
            </w:pPr>
          </w:p>
        </w:tc>
      </w:tr>
      <w:tr>
        <w:tblPrEx>
          <w:tblCellMar>
            <w:top w:w="0" w:type="dxa"/>
            <w:left w:w="108" w:type="dxa"/>
            <w:bottom w:w="0" w:type="dxa"/>
            <w:right w:w="108" w:type="dxa"/>
          </w:tblCellMar>
        </w:tblPrEx>
        <w:trPr>
          <w:trHeight w:val="184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010810003001</w:t>
            </w: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饰面夹板、塑料窗帘盒（200*200）</w:t>
            </w: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(1).C50上人轻钢龙骨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(2).9.5mm厚双层纸面石膏板 ，板缝贴胶带、点锈</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(3).腻子两遍</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(4).白色无机涂料两遍</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(5).按图施工，包含完成此项清单所有内容</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m</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rPr>
              <w:t>59.68</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cs="宋体"/>
                <w:color w:val="000000"/>
                <w:sz w:val="20"/>
                <w:szCs w:val="20"/>
              </w:rPr>
            </w:pPr>
          </w:p>
        </w:tc>
      </w:tr>
      <w:tr>
        <w:tblPrEx>
          <w:tblCellMar>
            <w:top w:w="0" w:type="dxa"/>
            <w:left w:w="108" w:type="dxa"/>
            <w:bottom w:w="0" w:type="dxa"/>
            <w:right w:w="108" w:type="dxa"/>
          </w:tblCellMar>
        </w:tblPrEx>
        <w:trPr>
          <w:trHeight w:val="133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010805005001</w:t>
            </w: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全玻自由门</w:t>
            </w: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1、10mm钢化安全玻璃安全门；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2、18厚细木工板木基层；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3、1.2厚黑色不锈钢门套；</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樘</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cs="宋体"/>
                <w:color w:val="000000"/>
                <w:sz w:val="20"/>
                <w:szCs w:val="20"/>
              </w:rPr>
            </w:pPr>
          </w:p>
        </w:tc>
      </w:tr>
      <w:tr>
        <w:tblPrEx>
          <w:tblCellMar>
            <w:top w:w="0" w:type="dxa"/>
            <w:left w:w="108" w:type="dxa"/>
            <w:bottom w:w="0" w:type="dxa"/>
            <w:right w:w="108" w:type="dxa"/>
          </w:tblCellMar>
        </w:tblPrEx>
        <w:trPr>
          <w:trHeight w:val="108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010809004001</w:t>
            </w: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石材窗台板</w:t>
            </w: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(1).20mm厚1:3水泥砂浆粘结层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(2).20mm厚白色人造石窗台板</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m2</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rPr>
              <w:t>5.28</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cs="宋体"/>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cs="宋体"/>
                <w:color w:val="000000"/>
                <w:sz w:val="20"/>
                <w:szCs w:val="20"/>
              </w:rPr>
            </w:pPr>
          </w:p>
        </w:tc>
      </w:tr>
      <w:tr>
        <w:tblPrEx>
          <w:tblCellMar>
            <w:top w:w="0" w:type="dxa"/>
            <w:left w:w="108" w:type="dxa"/>
            <w:bottom w:w="0" w:type="dxa"/>
            <w:right w:w="108" w:type="dxa"/>
          </w:tblCellMar>
        </w:tblPrEx>
        <w:trPr>
          <w:trHeight w:val="315" w:hRule="atLeast"/>
          <w:jc w:val="center"/>
        </w:trPr>
        <w:tc>
          <w:tcPr>
            <w:tcW w:w="9345"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合   计</w:t>
            </w:r>
          </w:p>
        </w:tc>
        <w:tc>
          <w:tcPr>
            <w:tcW w:w="13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9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03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9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widowControl/>
              <w:jc w:val="right"/>
              <w:textAlignment w:val="center"/>
              <w:rPr>
                <w:rFonts w:ascii="宋体" w:hAnsi="宋体" w:cs="宋体"/>
                <w:color w:val="000000"/>
                <w:sz w:val="20"/>
                <w:szCs w:val="20"/>
              </w:rPr>
            </w:pPr>
          </w:p>
        </w:tc>
        <w:tc>
          <w:tcPr>
            <w:tcW w:w="138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ascii="宋体" w:hAnsi="宋体" w:cs="宋体"/>
                <w:color w:val="000000"/>
                <w:sz w:val="20"/>
                <w:szCs w:val="20"/>
              </w:rPr>
            </w:pPr>
          </w:p>
        </w:tc>
      </w:tr>
    </w:tbl>
    <w:p>
      <w:pPr>
        <w:pStyle w:val="4"/>
      </w:pPr>
    </w:p>
    <w:p/>
    <w:p>
      <w:pPr>
        <w:pStyle w:val="2"/>
      </w:pPr>
    </w:p>
    <w:p>
      <w:pPr>
        <w:pStyle w:val="3"/>
      </w:pPr>
    </w:p>
    <w:p>
      <w:pPr>
        <w:pStyle w:val="4"/>
      </w:pPr>
    </w:p>
    <w:p/>
    <w:p>
      <w:pPr>
        <w:pStyle w:val="2"/>
      </w:pPr>
    </w:p>
    <w:p>
      <w:pPr>
        <w:pStyle w:val="3"/>
      </w:pPr>
    </w:p>
    <w:p>
      <w:pPr>
        <w:pStyle w:val="3"/>
      </w:pPr>
      <w:r>
        <w:drawing>
          <wp:anchor distT="0" distB="0" distL="114300" distR="114300" simplePos="0" relativeHeight="251660288" behindDoc="0" locked="0" layoutInCell="1" allowOverlap="1">
            <wp:simplePos x="0" y="0"/>
            <wp:positionH relativeFrom="column">
              <wp:posOffset>1176020</wp:posOffset>
            </wp:positionH>
            <wp:positionV relativeFrom="paragraph">
              <wp:posOffset>154305</wp:posOffset>
            </wp:positionV>
            <wp:extent cx="6482080" cy="4582160"/>
            <wp:effectExtent l="0" t="0" r="13970" b="8890"/>
            <wp:wrapNone/>
            <wp:docPr id="2" name="图片 2" descr="包柱、玻璃门、窗台石范围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包柱、玻璃门、窗台石范围_00"/>
                    <pic:cNvPicPr>
                      <a:picLocks noChangeAspect="1"/>
                    </pic:cNvPicPr>
                  </pic:nvPicPr>
                  <pic:blipFill>
                    <a:blip r:embed="rId4"/>
                    <a:stretch>
                      <a:fillRect/>
                    </a:stretch>
                  </pic:blipFill>
                  <pic:spPr>
                    <a:xfrm>
                      <a:off x="0" y="0"/>
                      <a:ext cx="6482080" cy="4582160"/>
                    </a:xfrm>
                    <a:prstGeom prst="rect">
                      <a:avLst/>
                    </a:prstGeom>
                  </pic:spPr>
                </pic:pic>
              </a:graphicData>
            </a:graphic>
          </wp:anchor>
        </w:drawing>
      </w:r>
      <w:r>
        <w:rPr>
          <w:rFonts w:hint="eastAsia"/>
        </w:rPr>
        <w:t>附件二:图纸</w:t>
      </w:r>
    </w:p>
    <w:p>
      <w:pPr>
        <w:pStyle w:val="4"/>
      </w:pPr>
    </w:p>
    <w:p/>
    <w:p>
      <w:pPr>
        <w:pStyle w:val="2"/>
      </w:pPr>
    </w:p>
    <w:p>
      <w:pPr>
        <w:pStyle w:val="3"/>
      </w:pPr>
    </w:p>
    <w:p>
      <w:pPr>
        <w:pStyle w:val="4"/>
      </w:pPr>
    </w:p>
    <w:p/>
    <w:p>
      <w:pPr>
        <w:pStyle w:val="2"/>
      </w:pPr>
    </w:p>
    <w:p>
      <w:pPr>
        <w:pStyle w:val="3"/>
      </w:pPr>
    </w:p>
    <w:p>
      <w:pPr>
        <w:pStyle w:val="4"/>
      </w:pPr>
    </w:p>
    <w:p/>
    <w:p>
      <w:pPr>
        <w:pStyle w:val="2"/>
      </w:pPr>
    </w:p>
    <w:p>
      <w:pPr>
        <w:pStyle w:val="3"/>
      </w:pPr>
    </w:p>
    <w:p>
      <w:pPr>
        <w:pStyle w:val="4"/>
      </w:pPr>
    </w:p>
    <w:p/>
    <w:p>
      <w:pPr>
        <w:pStyle w:val="2"/>
      </w:pPr>
    </w:p>
    <w:p>
      <w:pPr>
        <w:pStyle w:val="3"/>
      </w:pPr>
    </w:p>
    <w:p>
      <w:pPr>
        <w:pStyle w:val="4"/>
      </w:pPr>
    </w:p>
    <w:p/>
    <w:p>
      <w:pPr>
        <w:pStyle w:val="2"/>
      </w:pPr>
      <w:r>
        <w:pict>
          <v:shape id="_x0000_s1032" o:spid="_x0000_s1032" o:spt="202" type="#_x0000_t202" style="position:absolute;left:0pt;margin-left:221.2pt;margin-top:26.15pt;height:52.5pt;width:260pt;z-index:251663360;mso-width-relative:page;mso-height-relative:page;" fillcolor="#FFFFFF" filled="t" stroked="f" coordsize="21600,21600" o:gfxdata="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QTpxfVAAAA&#10;CgEAAA8AAAAAAAAAAQAgAAAAIgAAAGRycy9kb3ducmV2LnhtbFBLAQIUABQAAAAIAIdO4kBEjmU5&#10;WQIAAJsEAAAOAAAAAAAAAAEAIAAAACQBAABkcnMvZTJvRG9jLnhtbFBLBQYAAAAABgAGAFkBAADv&#10;BQAAAAA=&#10;">
            <v:path/>
            <v:fill on="t" focussize="0,0"/>
            <v:stroke on="f" weight="0.5pt" joinstyle="miter"/>
            <v:imagedata o:title=""/>
            <o:lock v:ext="edit"/>
            <v:textbox>
              <w:txbxContent>
                <w:p>
                  <w:pPr>
                    <w:rPr>
                      <w:sz w:val="36"/>
                      <w:szCs w:val="44"/>
                    </w:rPr>
                  </w:pPr>
                  <w:r>
                    <w:rPr>
                      <w:rFonts w:hint="eastAsia"/>
                      <w:sz w:val="36"/>
                      <w:szCs w:val="44"/>
                    </w:rPr>
                    <w:t>窗台石、门禁、包柱区域平面图</w:t>
                  </w:r>
                </w:p>
              </w:txbxContent>
            </v:textbox>
          </v:shape>
        </w:pict>
      </w:r>
    </w:p>
    <w:p>
      <w:pPr>
        <w:pStyle w:val="3"/>
      </w:pPr>
    </w:p>
    <w:p>
      <w:pPr>
        <w:pStyle w:val="4"/>
        <w:ind w:left="0"/>
      </w:pPr>
      <w:r>
        <w:drawing>
          <wp:anchor distT="0" distB="0" distL="114300" distR="114300" simplePos="0" relativeHeight="251661312" behindDoc="0" locked="0" layoutInCell="1" allowOverlap="1">
            <wp:simplePos x="0" y="0"/>
            <wp:positionH relativeFrom="column">
              <wp:posOffset>1495425</wp:posOffset>
            </wp:positionH>
            <wp:positionV relativeFrom="paragraph">
              <wp:posOffset>-1515745</wp:posOffset>
            </wp:positionV>
            <wp:extent cx="5402580" cy="7639050"/>
            <wp:effectExtent l="0" t="0" r="0" b="7620"/>
            <wp:wrapNone/>
            <wp:docPr id="3" name="图片 3" descr="吊顶区域图纸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吊顶区域图纸_00"/>
                    <pic:cNvPicPr>
                      <a:picLocks noChangeAspect="1"/>
                    </pic:cNvPicPr>
                  </pic:nvPicPr>
                  <pic:blipFill>
                    <a:blip r:embed="rId5"/>
                    <a:stretch>
                      <a:fillRect/>
                    </a:stretch>
                  </pic:blipFill>
                  <pic:spPr>
                    <a:xfrm rot="5400000">
                      <a:off x="0" y="0"/>
                      <a:ext cx="5402580" cy="7639050"/>
                    </a:xfrm>
                    <a:prstGeom prst="rect">
                      <a:avLst/>
                    </a:prstGeom>
                  </pic:spPr>
                </pic:pic>
              </a:graphicData>
            </a:graphic>
          </wp:anchor>
        </w:drawing>
      </w:r>
    </w:p>
    <w:p>
      <w:pPr>
        <w:pStyle w:val="4"/>
        <w:ind w:left="0"/>
      </w:pPr>
    </w:p>
    <w:p>
      <w:pPr>
        <w:pStyle w:val="4"/>
        <w:ind w:left="0"/>
      </w:pPr>
    </w:p>
    <w:p/>
    <w:p>
      <w:pPr>
        <w:pStyle w:val="2"/>
      </w:pPr>
    </w:p>
    <w:p>
      <w:pPr>
        <w:pStyle w:val="3"/>
      </w:pPr>
    </w:p>
    <w:p>
      <w:pPr>
        <w:pStyle w:val="4"/>
      </w:pPr>
    </w:p>
    <w:p/>
    <w:p>
      <w:pPr>
        <w:pStyle w:val="2"/>
      </w:pPr>
    </w:p>
    <w:p>
      <w:pPr>
        <w:pStyle w:val="3"/>
      </w:pPr>
    </w:p>
    <w:p>
      <w:pPr>
        <w:pStyle w:val="4"/>
      </w:pPr>
    </w:p>
    <w:p/>
    <w:p>
      <w:pPr>
        <w:pStyle w:val="2"/>
      </w:pPr>
    </w:p>
    <w:p>
      <w:pPr>
        <w:pStyle w:val="3"/>
      </w:pPr>
    </w:p>
    <w:p>
      <w:pPr>
        <w:pStyle w:val="4"/>
      </w:pPr>
    </w:p>
    <w:p/>
    <w:p>
      <w:pPr>
        <w:pStyle w:val="2"/>
      </w:pPr>
    </w:p>
    <w:p>
      <w:pPr>
        <w:pStyle w:val="3"/>
      </w:pPr>
    </w:p>
    <w:p>
      <w:pPr>
        <w:pStyle w:val="4"/>
      </w:pPr>
    </w:p>
    <w:p/>
    <w:p>
      <w:pPr>
        <w:pStyle w:val="2"/>
      </w:pPr>
      <w:r>
        <w:pict>
          <v:shape id="_x0000_s1031" o:spid="_x0000_s1031" o:spt="202" type="#_x0000_t202" style="position:absolute;left:0pt;margin-left:241.85pt;margin-top:35.45pt;height:52.5pt;width:171.3pt;z-index:251664384;mso-width-relative:page;mso-height-relative:page;" fillcolor="#FFFFFF" filled="t" stroked="f" coordsize="21600,21600" o:gfxdata="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xDcNcAAAAKAQAADwAA&#10;AAAAAAABACAAAAAiAAAAZHJzL2Rvd25yZXYueG1sUEsBAhQAFAAAAAgAh07iQNKkU3lQAgAAjwQA&#10;AA4AAAAAAAAAAQAgAAAAJgEAAGRycy9lMm9Eb2MueG1sUEsFBgAAAAAGAAYAWQEAAOgFAAAAAA==&#10;">
            <v:path/>
            <v:fill on="t" focussize="0,0"/>
            <v:stroke on="f" weight="0.5pt" joinstyle="miter"/>
            <v:imagedata o:title=""/>
            <o:lock v:ext="edit"/>
            <v:textbox>
              <w:txbxContent>
                <w:p>
                  <w:pPr>
                    <w:rPr>
                      <w:sz w:val="36"/>
                      <w:szCs w:val="44"/>
                    </w:rPr>
                  </w:pPr>
                  <w:r>
                    <w:rPr>
                      <w:rFonts w:hint="eastAsia"/>
                      <w:sz w:val="36"/>
                      <w:szCs w:val="44"/>
                    </w:rPr>
                    <w:t>吊顶区域平面图</w:t>
                  </w:r>
                </w:p>
              </w:txbxContent>
            </v:textbox>
          </v:shape>
        </w:pict>
      </w:r>
    </w:p>
    <w:p>
      <w:pPr>
        <w:pStyle w:val="3"/>
      </w:pPr>
      <w:r>
        <w:drawing>
          <wp:anchor distT="0" distB="0" distL="114300" distR="114300" simplePos="0" relativeHeight="251662336" behindDoc="0" locked="0" layoutInCell="1" allowOverlap="1">
            <wp:simplePos x="0" y="0"/>
            <wp:positionH relativeFrom="column">
              <wp:posOffset>4492625</wp:posOffset>
            </wp:positionH>
            <wp:positionV relativeFrom="paragraph">
              <wp:posOffset>362585</wp:posOffset>
            </wp:positionV>
            <wp:extent cx="4505325" cy="4067175"/>
            <wp:effectExtent l="0" t="0" r="9525" b="9525"/>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6">
                      <a:clrChange>
                        <a:clrFrom>
                          <a:srgbClr val="000000">
                            <a:alpha val="100000"/>
                          </a:srgbClr>
                        </a:clrFrom>
                        <a:clrTo>
                          <a:srgbClr val="000000">
                            <a:alpha val="100000"/>
                            <a:alpha val="0"/>
                          </a:srgbClr>
                        </a:clrTo>
                      </a:clrChange>
                      <a:grayscl/>
                    </a:blip>
                    <a:stretch>
                      <a:fillRect/>
                    </a:stretch>
                  </pic:blipFill>
                  <pic:spPr>
                    <a:xfrm>
                      <a:off x="0" y="0"/>
                      <a:ext cx="4505325" cy="4067175"/>
                    </a:xfrm>
                    <a:prstGeom prst="rect">
                      <a:avLst/>
                    </a:prstGeom>
                    <a:noFill/>
                    <a:ln>
                      <a:noFill/>
                    </a:ln>
                  </pic:spPr>
                </pic:pic>
              </a:graphicData>
            </a:graphic>
          </wp:anchor>
        </w:drawing>
      </w:r>
      <w:r>
        <w:drawing>
          <wp:inline distT="0" distB="0" distL="114300" distR="114300">
            <wp:extent cx="4230370" cy="469519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7">
                      <a:clrChange>
                        <a:clrFrom>
                          <a:srgbClr val="000000">
                            <a:alpha val="100000"/>
                          </a:srgbClr>
                        </a:clrFrom>
                        <a:clrTo>
                          <a:srgbClr val="000000">
                            <a:alpha val="100000"/>
                            <a:alpha val="0"/>
                          </a:srgbClr>
                        </a:clrTo>
                      </a:clrChange>
                      <a:grayscl/>
                    </a:blip>
                    <a:srcRect r="7511" b="10894"/>
                    <a:stretch>
                      <a:fillRect/>
                    </a:stretch>
                  </pic:blipFill>
                  <pic:spPr>
                    <a:xfrm>
                      <a:off x="0" y="0"/>
                      <a:ext cx="4230370" cy="4695190"/>
                    </a:xfrm>
                    <a:prstGeom prst="rect">
                      <a:avLst/>
                    </a:prstGeom>
                    <a:noFill/>
                    <a:ln>
                      <a:noFill/>
                    </a:ln>
                  </pic:spPr>
                </pic:pic>
              </a:graphicData>
            </a:graphic>
          </wp:inline>
        </w:drawing>
      </w:r>
    </w:p>
    <w:p>
      <w:pPr>
        <w:pStyle w:val="4"/>
      </w:pPr>
      <w:r>
        <w:rPr>
          <w:sz w:val="28"/>
        </w:rPr>
        <w:pict>
          <v:shape id="_x0000_s1030" o:spid="_x0000_s1030" o:spt="202" type="#_x0000_t202" style="position:absolute;left:0pt;margin-left:98.1pt;margin-top:11.6pt;height:52.5pt;width:171.3pt;z-index:251665408;mso-width-relative:page;mso-height-relative:page;" fillcolor="#FFFFFF" filled="t" stroked="f" coordsize="21600,21600" o:gfxdata="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XnEnLVAAAACgEAAA8AAAAAAAAA&#10;AQAgAAAAIgAAAGRycy9kb3ducmV2LnhtbFBLAQIUABQAAAAIAIdO4kBXTzeQTQIAAJEEAAAOAAAA&#10;AAAAAAEAIAAAACQBAABkcnMvZTJvRG9jLnhtbFBLBQYAAAAABgAGAFkBAADjBQAAAAA=&#10;">
            <v:path/>
            <v:fill on="t" focussize="0,0"/>
            <v:stroke on="f" weight="0.5pt" joinstyle="miter"/>
            <v:imagedata o:title=""/>
            <o:lock v:ext="edit"/>
            <v:textbox>
              <w:txbxContent>
                <w:p>
                  <w:pPr>
                    <w:rPr>
                      <w:sz w:val="36"/>
                      <w:szCs w:val="44"/>
                    </w:rPr>
                  </w:pPr>
                  <w:r>
                    <w:rPr>
                      <w:rFonts w:hint="eastAsia"/>
                      <w:sz w:val="36"/>
                      <w:szCs w:val="44"/>
                    </w:rPr>
                    <w:t>窗台石节点图</w:t>
                  </w:r>
                </w:p>
              </w:txbxContent>
            </v:textbox>
          </v:shape>
        </w:pict>
      </w:r>
      <w:r>
        <w:rPr>
          <w:sz w:val="28"/>
        </w:rPr>
        <w:pict>
          <v:shape id="_x0000_s1029" o:spid="_x0000_s1029" o:spt="202" type="#_x0000_t202" style="position:absolute;left:0pt;margin-left:448.05pt;margin-top:6.6pt;height:52.5pt;width:171.3pt;z-index:251666432;mso-width-relative:page;mso-height-relative:page;" fillcolor="#FFFFFF" filled="t" stroked="f" coordsize="21600,21600" o:gfxdata="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9udr41QAAAAsBAAAPAAAAAAAA&#10;AAEAIAAAACIAAABkcnMvZG93bnJldi54bWxQSwECFAAUAAAACACHTuJAAg38q04CAACRBAAADgAA&#10;AAAAAAABACAAAAAkAQAAZHJzL2Uyb0RvYy54bWxQSwUGAAAAAAYABgBZAQAA5AUAAAAA&#10;">
            <v:path/>
            <v:fill on="t" focussize="0,0"/>
            <v:stroke on="f" weight="0.5pt" joinstyle="miter"/>
            <v:imagedata o:title=""/>
            <o:lock v:ext="edit"/>
            <v:textbox>
              <w:txbxContent>
                <w:p>
                  <w:pPr>
                    <w:rPr>
                      <w:sz w:val="36"/>
                      <w:szCs w:val="44"/>
                    </w:rPr>
                  </w:pPr>
                  <w:r>
                    <w:rPr>
                      <w:rFonts w:hint="eastAsia"/>
                      <w:sz w:val="36"/>
                      <w:szCs w:val="44"/>
                    </w:rPr>
                    <w:t>包柱施工节点图</w:t>
                  </w:r>
                </w:p>
              </w:txbxContent>
            </v:textbox>
          </v:shape>
        </w:pict>
      </w:r>
    </w:p>
    <w:p/>
    <w:p>
      <w:pPr>
        <w:pStyle w:val="2"/>
      </w:pPr>
      <w:r>
        <w:pict>
          <v:shape id="_x0000_s1028" o:spid="_x0000_s1028" o:spt="202" type="#_x0000_t202" style="position:absolute;left:0pt;margin-left:287.5pt;margin-top:407.8pt;height:52.5pt;width:171.3pt;z-index:251667456;mso-width-relative:page;mso-height-relative:page;" fillcolor="#FFFFFF" filled="t" stroked="f" coordsize="21600,21600" o:gfxdata="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NYlTXWAAAACwEAAA8AAAAA&#10;AAAAAQAgAAAAIgAAAGRycy9kb3ducmV2LnhtbFBLAQIUABQAAAAIAIdO4kD9y6HnTwIAAJEEAAAO&#10;AAAAAAAAAAEAIAAAACUBAABkcnMvZTJvRG9jLnhtbFBLBQYAAAAABgAGAFkBAADmBQAAAAA=&#10;">
            <v:path/>
            <v:fill on="t" focussize="0,0"/>
            <v:stroke on="f" weight="0.5pt" joinstyle="miter"/>
            <v:imagedata o:title=""/>
            <o:lock v:ext="edit"/>
            <v:textbox>
              <w:txbxContent>
                <w:p>
                  <w:pPr>
                    <w:rPr>
                      <w:sz w:val="36"/>
                      <w:szCs w:val="44"/>
                    </w:rPr>
                  </w:pPr>
                  <w:r>
                    <w:rPr>
                      <w:rFonts w:hint="eastAsia"/>
                      <w:sz w:val="36"/>
                      <w:szCs w:val="44"/>
                    </w:rPr>
                    <w:t>玻璃门禁节点图</w:t>
                  </w:r>
                </w:p>
              </w:txbxContent>
            </v:textbox>
          </v:shape>
        </w:pict>
      </w:r>
      <w:r>
        <w:drawing>
          <wp:inline distT="0" distB="0" distL="114300" distR="114300">
            <wp:extent cx="6838950" cy="5269230"/>
            <wp:effectExtent l="0" t="0" r="0" b="698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8">
                      <a:clrChange>
                        <a:clrFrom>
                          <a:srgbClr val="000000">
                            <a:alpha val="100000"/>
                          </a:srgbClr>
                        </a:clrFrom>
                        <a:clrTo>
                          <a:srgbClr val="000000">
                            <a:alpha val="100000"/>
                            <a:alpha val="0"/>
                          </a:srgbClr>
                        </a:clrTo>
                      </a:clrChange>
                      <a:grayscl/>
                    </a:blip>
                    <a:stretch>
                      <a:fillRect/>
                    </a:stretch>
                  </pic:blipFill>
                  <pic:spPr>
                    <a:xfrm>
                      <a:off x="0" y="0"/>
                      <a:ext cx="6838950" cy="5269230"/>
                    </a:xfrm>
                    <a:prstGeom prst="rect">
                      <a:avLst/>
                    </a:prstGeom>
                    <a:noFill/>
                    <a:ln>
                      <a:noFill/>
                    </a:ln>
                  </pic:spPr>
                </pic:pic>
              </a:graphicData>
            </a:graphic>
          </wp:inline>
        </w:drawing>
      </w:r>
    </w:p>
    <w:p>
      <w:pPr>
        <w:pStyle w:val="3"/>
      </w:pPr>
      <w:r>
        <w:rPr>
          <w:sz w:val="28"/>
        </w:rPr>
        <w:pict>
          <v:shape id="_x0000_s1027" o:spid="_x0000_s1027" o:spt="202" type="#_x0000_t202" style="position:absolute;left:0pt;margin-left:267.45pt;margin-top:422.75pt;height:52.5pt;width:171.3pt;z-index:251668480;mso-width-relative:page;mso-height-relative:page;" fillcolor="#FFFFFF" filled="t" stroked="f" coordsize="21600,21600" o:gfxdata="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0Ejsn1wAAAAsBAAAPAAAA&#10;AAAAAAEAIAAAACIAAABkcnMvZG93bnJldi54bWxQSwECFAAUAAAACACHTuJAqIlq3E8CAACRBAAA&#10;DgAAAAAAAAABACAAAAAmAQAAZHJzL2Uyb0RvYy54bWxQSwUGAAAAAAYABgBZAQAA5wUAAAAA&#10;">
            <v:path/>
            <v:fill on="t" focussize="0,0"/>
            <v:stroke on="f" weight="0.5pt" joinstyle="miter"/>
            <v:imagedata o:title=""/>
            <o:lock v:ext="edit"/>
            <v:textbox>
              <w:txbxContent>
                <w:p>
                  <w:pPr>
                    <w:rPr>
                      <w:sz w:val="36"/>
                      <w:szCs w:val="44"/>
                    </w:rPr>
                  </w:pPr>
                  <w:r>
                    <w:rPr>
                      <w:rFonts w:hint="eastAsia"/>
                      <w:sz w:val="36"/>
                      <w:szCs w:val="44"/>
                    </w:rPr>
                    <w:t>窗帘盒节点图</w:t>
                  </w:r>
                </w:p>
              </w:txbxContent>
            </v:textbox>
          </v:shape>
        </w:pict>
      </w:r>
      <w:r>
        <w:drawing>
          <wp:inline distT="0" distB="0" distL="114300" distR="114300">
            <wp:extent cx="8744585" cy="501650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9">
                      <a:clrChange>
                        <a:clrFrom>
                          <a:srgbClr val="000000">
                            <a:alpha val="100000"/>
                          </a:srgbClr>
                        </a:clrFrom>
                        <a:clrTo>
                          <a:srgbClr val="000000">
                            <a:alpha val="100000"/>
                            <a:alpha val="0"/>
                          </a:srgbClr>
                        </a:clrTo>
                      </a:clrChange>
                      <a:grayscl/>
                    </a:blip>
                    <a:stretch>
                      <a:fillRect/>
                    </a:stretch>
                  </pic:blipFill>
                  <pic:spPr>
                    <a:xfrm>
                      <a:off x="0" y="0"/>
                      <a:ext cx="8744585" cy="5016500"/>
                    </a:xfrm>
                    <a:prstGeom prst="rect">
                      <a:avLst/>
                    </a:prstGeom>
                    <a:noFill/>
                    <a:ln>
                      <a:noFill/>
                    </a:ln>
                  </pic:spPr>
                </pic:pic>
              </a:graphicData>
            </a:graphic>
          </wp:inline>
        </w:drawing>
      </w:r>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7E3457"/>
    <w:multiLevelType w:val="singleLevel"/>
    <w:tmpl w:val="0E7E3457"/>
    <w:lvl w:ilvl="0" w:tentative="0">
      <w:start w:val="2"/>
      <w:numFmt w:val="decimal"/>
      <w:lvlText w:val="%1."/>
      <w:lvlJc w:val="left"/>
      <w:pPr>
        <w:tabs>
          <w:tab w:val="left" w:pos="312"/>
        </w:tabs>
      </w:pPr>
    </w:lvl>
  </w:abstractNum>
  <w:abstractNum w:abstractNumId="1">
    <w:nsid w:val="2FC6C6AF"/>
    <w:multiLevelType w:val="singleLevel"/>
    <w:tmpl w:val="2FC6C6A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zJiODQ5MDYyNmY4YzMxOGJlMDcyZTQ5MWUzNzRkYzQifQ=="/>
  </w:docVars>
  <w:rsids>
    <w:rsidRoot w:val="04FC01C9"/>
    <w:rsid w:val="000E31E8"/>
    <w:rsid w:val="001579FF"/>
    <w:rsid w:val="00175AEA"/>
    <w:rsid w:val="00AC0A0B"/>
    <w:rsid w:val="00AF62F1"/>
    <w:rsid w:val="00D630F6"/>
    <w:rsid w:val="04FC01C9"/>
    <w:rsid w:val="14D9511E"/>
    <w:rsid w:val="17170B8F"/>
    <w:rsid w:val="184F0127"/>
    <w:rsid w:val="2034339C"/>
    <w:rsid w:val="2405414B"/>
    <w:rsid w:val="25AD738C"/>
    <w:rsid w:val="3A9751F9"/>
    <w:rsid w:val="454B3FF6"/>
    <w:rsid w:val="50766910"/>
    <w:rsid w:val="58BC533D"/>
    <w:rsid w:val="7E7766C2"/>
    <w:rsid w:val="7FFE581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unhideWhenUsed/>
    <w:qFormat/>
    <w:uiPriority w:val="99"/>
    <w:pPr>
      <w:adjustRightInd w:val="0"/>
      <w:spacing w:line="315" w:lineRule="atLeast"/>
      <w:jc w:val="left"/>
    </w:pPr>
    <w:rPr>
      <w:rFonts w:ascii="仿宋_GB2312" w:eastAsia="仿宋_GB2312"/>
      <w:kern w:val="0"/>
      <w:sz w:val="28"/>
      <w:szCs w:val="20"/>
    </w:rPr>
  </w:style>
  <w:style w:type="paragraph" w:customStyle="1" w:styleId="3">
    <w:name w:val="Default"/>
    <w:next w:val="4"/>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4">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styleId="5">
    <w:name w:val="Balloon Text"/>
    <w:basedOn w:val="1"/>
    <w:link w:val="15"/>
    <w:uiPriority w:val="0"/>
    <w:rPr>
      <w:sz w:val="18"/>
      <w:szCs w:val="18"/>
    </w:rPr>
  </w:style>
  <w:style w:type="paragraph" w:styleId="6">
    <w:name w:val="footer"/>
    <w:basedOn w:val="1"/>
    <w:link w:val="14"/>
    <w:qFormat/>
    <w:uiPriority w:val="0"/>
    <w:pPr>
      <w:tabs>
        <w:tab w:val="center" w:pos="4153"/>
        <w:tab w:val="right" w:pos="8306"/>
      </w:tabs>
      <w:snapToGrid w:val="0"/>
      <w:jc w:val="left"/>
    </w:pPr>
    <w:rPr>
      <w:sz w:val="18"/>
      <w:szCs w:val="18"/>
    </w:rPr>
  </w:style>
  <w:style w:type="paragraph" w:styleId="7">
    <w:name w:val="header"/>
    <w:basedOn w:val="1"/>
    <w:link w:val="13"/>
    <w:uiPriority w:val="0"/>
    <w:pPr>
      <w:pBdr>
        <w:bottom w:val="single" w:color="auto" w:sz="6" w:space="1"/>
      </w:pBdr>
      <w:tabs>
        <w:tab w:val="center" w:pos="4153"/>
        <w:tab w:val="right" w:pos="8306"/>
      </w:tabs>
      <w:snapToGrid w:val="0"/>
      <w:jc w:val="center"/>
    </w:pPr>
    <w:rPr>
      <w:sz w:val="18"/>
      <w:szCs w:val="18"/>
    </w:rPr>
  </w:style>
  <w:style w:type="paragraph" w:styleId="8">
    <w:name w:val="toc 6"/>
    <w:basedOn w:val="1"/>
    <w:next w:val="1"/>
    <w:unhideWhenUsed/>
    <w:qFormat/>
    <w:uiPriority w:val="39"/>
    <w:pPr>
      <w:ind w:left="1050"/>
      <w:jc w:val="left"/>
    </w:pPr>
    <w:rPr>
      <w:szCs w:val="21"/>
    </w:rPr>
  </w:style>
  <w:style w:type="paragraph" w:styleId="9">
    <w:name w:val="Body Text First Indent"/>
    <w:basedOn w:val="2"/>
    <w:next w:val="8"/>
    <w:unhideWhenUsed/>
    <w:qFormat/>
    <w:uiPriority w:val="0"/>
    <w:pPr>
      <w:adjustRightInd/>
      <w:spacing w:after="120" w:line="240" w:lineRule="auto"/>
      <w:ind w:firstLine="420" w:firstLineChars="100"/>
      <w:jc w:val="both"/>
    </w:pPr>
    <w:rPr>
      <w:rFonts w:ascii="Times New Roman"/>
      <w:kern w:val="2"/>
      <w:sz w:val="21"/>
      <w:szCs w:val="24"/>
    </w:rPr>
  </w:style>
  <w:style w:type="character" w:customStyle="1" w:styleId="12">
    <w:name w:val="标题 1 Char Char"/>
    <w:basedOn w:val="11"/>
    <w:qFormat/>
    <w:uiPriority w:val="0"/>
    <w:rPr>
      <w:rFonts w:eastAsia="宋体"/>
      <w:b/>
      <w:spacing w:val="-2"/>
      <w:sz w:val="24"/>
      <w:lang w:val="en-US" w:eastAsia="zh-CN" w:bidi="ar-SA"/>
    </w:rPr>
  </w:style>
  <w:style w:type="character" w:customStyle="1" w:styleId="13">
    <w:name w:val="页眉 Char"/>
    <w:basedOn w:val="11"/>
    <w:link w:val="7"/>
    <w:qFormat/>
    <w:uiPriority w:val="0"/>
    <w:rPr>
      <w:kern w:val="2"/>
      <w:sz w:val="18"/>
      <w:szCs w:val="18"/>
    </w:rPr>
  </w:style>
  <w:style w:type="character" w:customStyle="1" w:styleId="14">
    <w:name w:val="页脚 Char"/>
    <w:basedOn w:val="11"/>
    <w:link w:val="6"/>
    <w:qFormat/>
    <w:uiPriority w:val="0"/>
    <w:rPr>
      <w:kern w:val="2"/>
      <w:sz w:val="18"/>
      <w:szCs w:val="18"/>
    </w:rPr>
  </w:style>
  <w:style w:type="character" w:customStyle="1" w:styleId="15">
    <w:name w:val="批注框文本 Char"/>
    <w:basedOn w:val="11"/>
    <w:link w:val="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20</Pages>
  <Words>4694</Words>
  <Characters>5201</Characters>
  <Lines>41</Lines>
  <Paragraphs>11</Paragraphs>
  <TotalTime>37</TotalTime>
  <ScaleCrop>false</ScaleCrop>
  <LinksUpToDate>false</LinksUpToDate>
  <CharactersWithSpaces>5407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2024-05-17T16:25:00Z</dcterms:created>
  <dc:creator></dc:creator>
  <cp:lastModifiedBy></cp:lastModifiedBy>
  <dcterms:modified xsi:type="dcterms:W3CDTF">2024-06-28T01:15:42Z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8ECE368A4F96478DB9ADB1DAE8F3401A_11</vt:lpwstr>
  </property>
</Properties>
</file>