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5" w:type="dxa"/>
        <w:tblInd w:w="-807" w:type="dxa"/>
        <w:tblLayout w:type="fixed"/>
        <w:tblLook w:val="04A0"/>
      </w:tblPr>
      <w:tblGrid>
        <w:gridCol w:w="1972"/>
        <w:gridCol w:w="4928"/>
        <w:gridCol w:w="1865"/>
        <w:gridCol w:w="1630"/>
      </w:tblGrid>
      <w:tr w:rsidR="00652E6F">
        <w:trPr>
          <w:trHeight w:val="560"/>
        </w:trPr>
        <w:tc>
          <w:tcPr>
            <w:tcW w:w="10395" w:type="dxa"/>
            <w:gridSpan w:val="4"/>
            <w:tcBorders>
              <w:top w:val="nil"/>
              <w:left w:val="nil"/>
              <w:bottom w:val="nil"/>
              <w:right w:val="nil"/>
            </w:tcBorders>
            <w:shd w:val="clear" w:color="auto" w:fill="auto"/>
            <w:noWrap/>
            <w:vAlign w:val="center"/>
          </w:tcPr>
          <w:p w:rsidR="00652E6F" w:rsidRDefault="00DB2CBB">
            <w:pPr>
              <w:jc w:val="center"/>
              <w:rPr>
                <w:rFonts w:ascii="宋体" w:eastAsia="宋体" w:hAnsi="宋体" w:cs="宋体"/>
                <w:color w:val="000000"/>
                <w:sz w:val="22"/>
                <w:szCs w:val="22"/>
              </w:rPr>
            </w:pPr>
            <w:bookmarkStart w:id="0" w:name="_GoBack"/>
            <w:bookmarkEnd w:id="0"/>
            <w:r>
              <w:rPr>
                <w:rFonts w:ascii="宋体" w:eastAsia="宋体" w:hAnsi="宋体" w:cs="宋体" w:hint="eastAsia"/>
                <w:color w:val="000000"/>
                <w:kern w:val="0"/>
                <w:sz w:val="32"/>
                <w:szCs w:val="32"/>
                <w:lang/>
              </w:rPr>
              <w:t>风险管理文档内容确认表（</w:t>
            </w:r>
            <w:r>
              <w:rPr>
                <w:rFonts w:ascii="宋体" w:eastAsia="宋体" w:hAnsi="宋体" w:cs="宋体" w:hint="eastAsia"/>
                <w:color w:val="000000"/>
                <w:kern w:val="0"/>
                <w:sz w:val="32"/>
                <w:szCs w:val="32"/>
                <w:lang/>
              </w:rPr>
              <w:t>GB9706.218</w:t>
            </w:r>
            <w:r>
              <w:rPr>
                <w:rFonts w:ascii="宋体" w:eastAsia="宋体" w:hAnsi="宋体" w:cs="宋体" w:hint="eastAsia"/>
                <w:color w:val="000000"/>
                <w:kern w:val="0"/>
                <w:sz w:val="32"/>
                <w:szCs w:val="32"/>
                <w:lang/>
              </w:rPr>
              <w:t>）</w:t>
            </w:r>
          </w:p>
        </w:tc>
      </w:tr>
      <w:tr w:rsidR="00652E6F">
        <w:trPr>
          <w:trHeight w:val="825"/>
        </w:trPr>
        <w:tc>
          <w:tcPr>
            <w:tcW w:w="19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2E6F" w:rsidRDefault="00DB2CB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GB9706.218</w:t>
            </w:r>
            <w:r>
              <w:rPr>
                <w:rFonts w:ascii="宋体" w:eastAsia="宋体" w:hAnsi="宋体" w:cs="宋体" w:hint="eastAsia"/>
                <w:color w:val="000000"/>
                <w:kern w:val="0"/>
                <w:sz w:val="24"/>
                <w:lang/>
              </w:rPr>
              <w:t>条款</w:t>
            </w:r>
          </w:p>
        </w:tc>
        <w:tc>
          <w:tcPr>
            <w:tcW w:w="49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2E6F" w:rsidRDefault="00DB2CBB">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项目内容</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文档名称</w:t>
            </w:r>
            <w:r>
              <w:rPr>
                <w:rFonts w:ascii="宋体" w:eastAsia="宋体" w:hAnsi="宋体" w:cs="宋体" w:hint="eastAsia"/>
                <w:color w:val="000000"/>
                <w:kern w:val="0"/>
                <w:sz w:val="22"/>
                <w:szCs w:val="22"/>
                <w:lang/>
              </w:rPr>
              <w:t>(</w:t>
            </w:r>
            <w:r>
              <w:rPr>
                <w:rFonts w:ascii="宋体" w:eastAsia="宋体" w:hAnsi="宋体" w:cs="宋体" w:hint="eastAsia"/>
                <w:color w:val="000000"/>
                <w:kern w:val="0"/>
                <w:sz w:val="22"/>
                <w:szCs w:val="22"/>
                <w:lang/>
              </w:rPr>
              <w:t>编号）及其位置</w:t>
            </w:r>
          </w:p>
        </w:tc>
        <w:tc>
          <w:tcPr>
            <w:tcW w:w="1630" w:type="dxa"/>
            <w:tcBorders>
              <w:top w:val="single" w:sz="8" w:space="0" w:color="000000"/>
              <w:left w:val="nil"/>
              <w:bottom w:val="nil"/>
              <w:right w:val="single" w:sz="8" w:space="0" w:color="000000"/>
            </w:tcBorders>
            <w:shd w:val="clear" w:color="auto" w:fill="auto"/>
            <w:vAlign w:val="center"/>
          </w:tcPr>
          <w:p w:rsidR="00652E6F" w:rsidRDefault="00DB2CB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不适用理由</w:t>
            </w: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201.4.6</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25"/>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w:t>
            </w:r>
            <w:r>
              <w:rPr>
                <w:rFonts w:ascii="黑体" w:eastAsia="黑体" w:hAnsi="宋体" w:cs="黑体" w:hint="eastAsia"/>
                <w:color w:val="000000"/>
                <w:kern w:val="0"/>
                <w:szCs w:val="21"/>
                <w:lang/>
              </w:rPr>
              <w:t>与患者接触的</w:t>
            </w:r>
            <w:r>
              <w:rPr>
                <w:rFonts w:ascii="黑体" w:eastAsia="黑体" w:hAnsi="宋体" w:cs="黑体" w:hint="eastAsia"/>
                <w:color w:val="000000"/>
                <w:kern w:val="0"/>
                <w:szCs w:val="21"/>
                <w:lang/>
              </w:rPr>
              <w:t>ME</w:t>
            </w:r>
            <w:r>
              <w:rPr>
                <w:rFonts w:ascii="黑体" w:eastAsia="黑体" w:hAnsi="宋体" w:cs="黑体" w:hint="eastAsia"/>
                <w:color w:val="000000"/>
                <w:kern w:val="0"/>
                <w:szCs w:val="21"/>
                <w:lang/>
              </w:rPr>
              <w:t>设备或</w:t>
            </w:r>
            <w:r>
              <w:rPr>
                <w:rFonts w:ascii="黑体" w:eastAsia="黑体" w:hAnsi="宋体" w:cs="黑体" w:hint="eastAsia"/>
                <w:color w:val="000000"/>
                <w:kern w:val="0"/>
                <w:szCs w:val="21"/>
                <w:lang/>
              </w:rPr>
              <w:t>ME</w:t>
            </w:r>
            <w:r>
              <w:rPr>
                <w:rFonts w:ascii="黑体" w:eastAsia="黑体" w:hAnsi="宋体" w:cs="黑体" w:hint="eastAsia"/>
                <w:color w:val="000000"/>
                <w:kern w:val="0"/>
                <w:szCs w:val="21"/>
                <w:lang/>
              </w:rPr>
              <w:t>系统</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本文件规定光导电缆是</w:t>
            </w:r>
            <w:r>
              <w:rPr>
                <w:rStyle w:val="font112"/>
                <w:rFonts w:ascii="宋体" w:eastAsia="宋体" w:hAnsi="宋体" w:cs="宋体"/>
                <w:sz w:val="24"/>
                <w:szCs w:val="24"/>
                <w:lang/>
              </w:rPr>
              <w:t>ME</w:t>
            </w:r>
            <w:r>
              <w:rPr>
                <w:rStyle w:val="font51"/>
                <w:rFonts w:hint="default"/>
                <w:lang/>
              </w:rPr>
              <w:t>系统与患者接触的应用部分，除非风险管理文件表明另有特别配置。</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652E6F">
            <w:pPr>
              <w:jc w:val="center"/>
              <w:rPr>
                <w:rFonts w:ascii="宋体" w:eastAsia="宋体" w:hAnsi="宋体" w:cs="宋体"/>
                <w:color w:val="000000"/>
                <w:szCs w:val="21"/>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Style w:val="font31"/>
                <w:rFonts w:hint="default"/>
                <w:lang/>
              </w:rPr>
              <w:t xml:space="preserve">201.4.7  </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1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ME</w:t>
            </w:r>
            <w:r>
              <w:rPr>
                <w:rFonts w:ascii="黑体" w:eastAsia="黑体" w:hAnsi="宋体" w:cs="黑体" w:hint="eastAsia"/>
                <w:color w:val="000000"/>
                <w:kern w:val="0"/>
                <w:szCs w:val="21"/>
                <w:lang/>
              </w:rPr>
              <w:t>设备单一故障状态</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对于单一故障安全，规定制造商应考虑到互连条件和接口条件是风险管理过程的一部分。</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652E6F">
            <w:pPr>
              <w:jc w:val="center"/>
              <w:rPr>
                <w:rFonts w:ascii="宋体" w:eastAsia="宋体" w:hAnsi="宋体" w:cs="宋体"/>
                <w:color w:val="000000"/>
                <w:szCs w:val="21"/>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201.5.7</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02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Style w:val="font31"/>
                <w:rFonts w:hint="default"/>
                <w:lang/>
              </w:rPr>
              <w:t xml:space="preserve"> *</w:t>
            </w:r>
            <w:r>
              <w:rPr>
                <w:rStyle w:val="font31"/>
                <w:rFonts w:hint="default"/>
                <w:lang/>
              </w:rPr>
              <w:t>潮湿预处理</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内窥镜设备</w:t>
            </w:r>
            <w:r>
              <w:rPr>
                <w:rStyle w:val="font151"/>
                <w:rFonts w:hint="default"/>
                <w:lang/>
              </w:rPr>
              <w:t>调节孔盖</w:t>
            </w:r>
            <w:r>
              <w:rPr>
                <w:rStyle w:val="font51"/>
                <w:rFonts w:hint="default"/>
                <w:lang/>
              </w:rPr>
              <w:t>不用工具可以打开，但一旦打开，设备就会断电（如联锁装置），潮湿预处理过程中检修盖可以不打开，除非风险管理过程建议，在检修盖打开期间内窥镜设备可以暴露在高湿度的环境下。</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050"/>
        </w:trPr>
        <w:tc>
          <w:tcPr>
            <w:tcW w:w="1972" w:type="dxa"/>
            <w:tcBorders>
              <w:top w:val="nil"/>
              <w:left w:val="single" w:sz="8" w:space="0" w:color="000000"/>
              <w:bottom w:val="nil"/>
              <w:right w:val="single" w:sz="8" w:space="0" w:color="000000"/>
            </w:tcBorders>
            <w:shd w:val="clear" w:color="auto" w:fill="auto"/>
            <w:vAlign w:val="center"/>
          </w:tcPr>
          <w:p w:rsidR="00652E6F" w:rsidRDefault="00652E6F">
            <w:pPr>
              <w:jc w:val="center"/>
              <w:rPr>
                <w:rFonts w:ascii="宋体" w:eastAsia="宋体" w:hAnsi="宋体" w:cs="宋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按照预期用途或使用说明书要求使用在使用前提供灭菌和</w:t>
            </w:r>
            <w:r>
              <w:rPr>
                <w:rStyle w:val="font112"/>
                <w:rFonts w:ascii="宋体" w:eastAsia="宋体" w:hAnsi="宋体" w:cs="宋体"/>
                <w:sz w:val="24"/>
                <w:szCs w:val="24"/>
                <w:lang/>
              </w:rPr>
              <w:t>/</w:t>
            </w:r>
            <w:r>
              <w:rPr>
                <w:rStyle w:val="font51"/>
                <w:rFonts w:hint="default"/>
                <w:lang/>
              </w:rPr>
              <w:t>或消毒过程的带电内窥镜和带电内治疗器械，在相关测试前视情况，按照本条款要求可以不进行潮湿预处理，但应替代通用标准的</w:t>
            </w:r>
            <w:r>
              <w:rPr>
                <w:rStyle w:val="font112"/>
                <w:rFonts w:ascii="宋体" w:eastAsia="宋体" w:hAnsi="宋体" w:cs="宋体"/>
                <w:sz w:val="24"/>
                <w:szCs w:val="24"/>
                <w:lang/>
              </w:rPr>
              <w:t>11.6.6</w:t>
            </w:r>
            <w:r>
              <w:rPr>
                <w:rStyle w:val="font51"/>
                <w:rFonts w:hint="default"/>
                <w:lang/>
              </w:rPr>
              <w:t>和</w:t>
            </w:r>
            <w:r>
              <w:rPr>
                <w:rStyle w:val="font112"/>
                <w:rFonts w:ascii="宋体" w:eastAsia="宋体" w:hAnsi="宋体" w:cs="宋体"/>
                <w:sz w:val="24"/>
                <w:szCs w:val="24"/>
                <w:lang/>
              </w:rPr>
              <w:t>/</w:t>
            </w:r>
            <w:r>
              <w:rPr>
                <w:rStyle w:val="font51"/>
                <w:rFonts w:hint="default"/>
                <w:lang/>
              </w:rPr>
              <w:t>或</w:t>
            </w:r>
            <w:r>
              <w:rPr>
                <w:rStyle w:val="font112"/>
                <w:rFonts w:ascii="宋体" w:eastAsia="宋体" w:hAnsi="宋体" w:cs="宋体"/>
                <w:sz w:val="24"/>
                <w:szCs w:val="24"/>
                <w:lang/>
              </w:rPr>
              <w:t>11.6.7</w:t>
            </w:r>
            <w:r>
              <w:rPr>
                <w:rStyle w:val="font5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201.8.5.2.3</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1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Style w:val="font31"/>
                <w:rFonts w:hint="default"/>
                <w:lang/>
              </w:rPr>
              <w:t xml:space="preserve"> *</w:t>
            </w:r>
            <w:r>
              <w:rPr>
                <w:rStyle w:val="font31"/>
                <w:rFonts w:hint="default"/>
                <w:lang/>
              </w:rPr>
              <w:t>患者导联</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如果风险管理过程证实没有不可接受的风险，带电内窥镜和带电内治疗器械的本条款不适用。</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652E6F">
            <w:pPr>
              <w:jc w:val="center"/>
              <w:rPr>
                <w:rFonts w:ascii="宋体" w:eastAsia="宋体" w:hAnsi="宋体" w:cs="宋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 w:val="18"/>
                <w:szCs w:val="18"/>
              </w:rPr>
            </w:pPr>
            <w:r>
              <w:rPr>
                <w:rStyle w:val="font71"/>
                <w:rFonts w:hint="default"/>
                <w:lang/>
              </w:rPr>
              <w:t>注：</w:t>
            </w:r>
            <w:r>
              <w:rPr>
                <w:rStyle w:val="font121"/>
                <w:rFonts w:hint="default"/>
                <w:lang/>
              </w:rPr>
              <w:t>与高频手术设备关联的患者导联要求见</w:t>
            </w:r>
            <w:r>
              <w:rPr>
                <w:rStyle w:val="font171"/>
                <w:rFonts w:eastAsia="黑体"/>
                <w:lang/>
              </w:rPr>
              <w:t>GB 9706.4</w:t>
            </w:r>
            <w:r>
              <w:rPr>
                <w:rStyle w:val="font12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查看风险管理文件，检查是否符合要求。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07"/>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Style w:val="font31"/>
                <w:rFonts w:hint="default"/>
                <w:lang/>
              </w:rPr>
              <w:t xml:space="preserve">201.8.9  </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201.8.9.1 </w:t>
            </w:r>
            <w:r>
              <w:rPr>
                <w:rFonts w:ascii="黑体" w:eastAsia="黑体" w:hAnsi="宋体" w:cs="黑体" w:hint="eastAsia"/>
                <w:color w:val="000000"/>
                <w:kern w:val="0"/>
                <w:szCs w:val="21"/>
                <w:lang/>
              </w:rPr>
              <w:t>数值</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爬电距离和电气间隙</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Style w:val="font31"/>
                <w:rFonts w:hint="default"/>
                <w:lang/>
              </w:rPr>
              <w:t>201.8.9.1.1  *</w:t>
            </w:r>
            <w:r>
              <w:rPr>
                <w:rStyle w:val="font31"/>
                <w:rFonts w:hint="default"/>
                <w:lang/>
              </w:rPr>
              <w:t>一般要求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03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如果风险管理过程证明都是安全，允许小尺寸结构部分的应用部分可以减少爬电距离和空气间隙，对于两种操作者防护方式，通用标准</w:t>
            </w:r>
            <w:r>
              <w:rPr>
                <w:rStyle w:val="font112"/>
                <w:rFonts w:ascii="宋体" w:eastAsia="宋体" w:hAnsi="宋体" w:cs="宋体"/>
                <w:sz w:val="24"/>
                <w:szCs w:val="24"/>
                <w:lang/>
              </w:rPr>
              <w:t>5.1.3</w:t>
            </w:r>
            <w:r>
              <w:rPr>
                <w:rStyle w:val="font51"/>
                <w:rFonts w:hint="default"/>
                <w:lang/>
              </w:rPr>
              <w:t>要求应满足污染度</w:t>
            </w:r>
            <w:r>
              <w:rPr>
                <w:rStyle w:val="font112"/>
                <w:rFonts w:ascii="宋体" w:eastAsia="宋体" w:hAnsi="宋体" w:cs="宋体"/>
                <w:sz w:val="24"/>
                <w:szCs w:val="24"/>
                <w:lang/>
              </w:rPr>
              <w:t>1</w:t>
            </w:r>
            <w:r>
              <w:rPr>
                <w:rStyle w:val="font51"/>
                <w:rFonts w:hint="default"/>
                <w:lang/>
              </w:rPr>
              <w:t>，并见附录</w:t>
            </w:r>
            <w:r>
              <w:rPr>
                <w:rStyle w:val="font112"/>
                <w:rFonts w:ascii="宋体" w:eastAsia="宋体" w:hAnsi="宋体" w:cs="宋体"/>
                <w:sz w:val="24"/>
                <w:szCs w:val="24"/>
                <w:lang/>
              </w:rPr>
              <w:t>J</w:t>
            </w:r>
            <w:r>
              <w:rPr>
                <w:rStyle w:val="font5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检查风险管理文件，检查是否符合要求。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484"/>
        </w:trPr>
        <w:tc>
          <w:tcPr>
            <w:tcW w:w="1972" w:type="dxa"/>
            <w:tcBorders>
              <w:top w:val="nil"/>
              <w:left w:val="single" w:sz="8" w:space="0" w:color="000000"/>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single" w:sz="4" w:space="0" w:color="auto"/>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lastRenderedPageBreak/>
              <w:t>201.9.3</w:t>
            </w:r>
          </w:p>
        </w:tc>
        <w:tc>
          <w:tcPr>
            <w:tcW w:w="4928"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780"/>
        </w:trPr>
        <w:tc>
          <w:tcPr>
            <w:tcW w:w="1972" w:type="dxa"/>
            <w:tcBorders>
              <w:top w:val="nil"/>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与表面、角落和边缘相关的危险</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应对带电部件的表面、角落和边缘进行检查，检查是否符合</w:t>
            </w:r>
            <w:r>
              <w:rPr>
                <w:rStyle w:val="font112"/>
                <w:rFonts w:ascii="宋体" w:eastAsia="宋体" w:hAnsi="宋体" w:cs="宋体"/>
                <w:sz w:val="24"/>
                <w:szCs w:val="24"/>
                <w:lang/>
              </w:rPr>
              <w:t>ISO 8600-1</w:t>
            </w:r>
            <w:r>
              <w:rPr>
                <w:rStyle w:val="font51"/>
                <w:rFonts w:hint="default"/>
                <w:lang/>
              </w:rPr>
              <w:t>规定的适用性要求，并对其进行评估，这是风险管理程序的一部分。</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4" w:space="0" w:color="auto"/>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查看风险管理文件，检查是否符合要求。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4" w:space="0" w:color="auto"/>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201.9.4.2</w:t>
            </w:r>
          </w:p>
        </w:tc>
        <w:tc>
          <w:tcPr>
            <w:tcW w:w="4928"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201.9.4.2.4 </w:t>
            </w:r>
            <w:r>
              <w:rPr>
                <w:rFonts w:ascii="黑体" w:eastAsia="黑体" w:hAnsi="宋体" w:cs="黑体" w:hint="eastAsia"/>
                <w:color w:val="000000"/>
                <w:kern w:val="0"/>
                <w:szCs w:val="21"/>
                <w:lang/>
              </w:rPr>
              <w:t>脚轮和轮子</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Style w:val="font31"/>
                <w:rFonts w:hint="default"/>
                <w:lang/>
              </w:rPr>
              <w:t xml:space="preserve"> </w:t>
            </w:r>
            <w:r>
              <w:rPr>
                <w:rStyle w:val="font31"/>
                <w:rFonts w:hint="default"/>
                <w:lang/>
              </w:rPr>
              <w:t>不稳定性</w:t>
            </w:r>
            <w:r>
              <w:rPr>
                <w:rStyle w:val="font31"/>
                <w:rFonts w:hint="default"/>
                <w:lang/>
              </w:rPr>
              <w:t>——</w:t>
            </w:r>
            <w:r>
              <w:rPr>
                <w:rStyle w:val="font31"/>
                <w:rFonts w:hint="default"/>
                <w:lang/>
              </w:rPr>
              <w:t>失衡</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Style w:val="font31"/>
                <w:rFonts w:hint="default"/>
                <w:lang/>
              </w:rPr>
              <w:t>201.9.4.2.4.3  *</w:t>
            </w:r>
            <w:r>
              <w:rPr>
                <w:rStyle w:val="font31"/>
                <w:rFonts w:hint="default"/>
                <w:lang/>
              </w:rPr>
              <w:t>越过门槛的运动</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rPr>
              <w:t>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42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5"/>
                <w:szCs w:val="15"/>
              </w:rPr>
            </w:pPr>
            <w:r>
              <w:rPr>
                <w:rStyle w:val="font91"/>
                <w:rFonts w:hint="default"/>
                <w:lang/>
              </w:rPr>
              <w:t>内窥镜应用配置内使用可移动的</w:t>
            </w:r>
            <w:r>
              <w:rPr>
                <w:rStyle w:val="font181"/>
                <w:rFonts w:eastAsia="宋体"/>
                <w:lang/>
              </w:rPr>
              <w:t>ME</w:t>
            </w:r>
            <w:r>
              <w:rPr>
                <w:rStyle w:val="font91"/>
                <w:rFonts w:hint="default"/>
                <w:lang/>
              </w:rPr>
              <w:t>系统组合的工作站，总质量超过</w:t>
            </w:r>
            <w:r>
              <w:rPr>
                <w:rStyle w:val="font181"/>
                <w:rFonts w:eastAsia="宋体"/>
                <w:lang/>
              </w:rPr>
              <w:t>45kg</w:t>
            </w:r>
            <w:r>
              <w:rPr>
                <w:rStyle w:val="font91"/>
                <w:rFonts w:hint="default"/>
                <w:lang/>
              </w:rPr>
              <w:t>应能越过</w:t>
            </w:r>
            <w:r>
              <w:rPr>
                <w:rStyle w:val="font181"/>
                <w:rFonts w:eastAsia="宋体"/>
                <w:lang/>
              </w:rPr>
              <w:t>15mm</w:t>
            </w:r>
            <w:r>
              <w:rPr>
                <w:rStyle w:val="font91"/>
                <w:rFonts w:hint="default"/>
                <w:lang/>
              </w:rPr>
              <w:t>的门槛高度，而不会产生不可接受的风险。</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i/>
                <w:iCs/>
                <w:color w:val="000000"/>
                <w:sz w:val="15"/>
                <w:szCs w:val="15"/>
              </w:rPr>
            </w:pPr>
            <w:r>
              <w:rPr>
                <w:rFonts w:ascii="宋体" w:eastAsia="宋体" w:hAnsi="宋体" w:cs="宋体" w:hint="eastAsia"/>
                <w:i/>
                <w:iCs/>
                <w:color w:val="000000"/>
                <w:kern w:val="0"/>
                <w:sz w:val="15"/>
                <w:szCs w:val="15"/>
                <w:lang/>
              </w:rPr>
              <w:t>通过以下测试，检查是否满足要求：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26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5"/>
                <w:szCs w:val="15"/>
              </w:rPr>
            </w:pPr>
            <w:r>
              <w:rPr>
                <w:rStyle w:val="font91"/>
                <w:rFonts w:hint="default"/>
                <w:lang/>
              </w:rPr>
              <w:t>在运输点配置好移动</w:t>
            </w:r>
            <w:r>
              <w:rPr>
                <w:rStyle w:val="font181"/>
                <w:rFonts w:eastAsia="宋体"/>
                <w:lang/>
              </w:rPr>
              <w:t>ME</w:t>
            </w:r>
            <w:r>
              <w:rPr>
                <w:rStyle w:val="font91"/>
                <w:rFonts w:hint="default"/>
                <w:lang/>
              </w:rPr>
              <w:t>系统，按照随附文件指定的位置加上安全工作荷载。按照随附文件指南和建议移动</w:t>
            </w:r>
            <w:r>
              <w:rPr>
                <w:rStyle w:val="font181"/>
                <w:rFonts w:eastAsia="宋体"/>
                <w:lang/>
              </w:rPr>
              <w:t>ME</w:t>
            </w:r>
            <w:r>
              <w:rPr>
                <w:rStyle w:val="font91"/>
                <w:rFonts w:hint="default"/>
                <w:lang/>
              </w:rPr>
              <w:t>系统，或如果没有给出指南，则按一般使用说明书的规定，向前越过（上下）固体垂直平面障碍物</w:t>
            </w:r>
            <w:r>
              <w:rPr>
                <w:rStyle w:val="font181"/>
                <w:rFonts w:eastAsia="宋体"/>
                <w:lang/>
              </w:rPr>
              <w:t>10</w:t>
            </w:r>
            <w:r>
              <w:rPr>
                <w:rStyle w:val="font91"/>
                <w:rFonts w:hint="default"/>
                <w:lang/>
              </w:rPr>
              <w:t>次，障碍物是水平安装在地板上，高</w:t>
            </w:r>
            <w:r>
              <w:rPr>
                <w:rStyle w:val="font181"/>
                <w:rFonts w:eastAsia="宋体"/>
                <w:lang/>
              </w:rPr>
              <w:t>15mm</w:t>
            </w:r>
            <w:r>
              <w:rPr>
                <w:rStyle w:val="font91"/>
                <w:rFonts w:hint="default"/>
                <w:lang/>
              </w:rPr>
              <w:t>，宽至少</w:t>
            </w:r>
            <w:r>
              <w:rPr>
                <w:rStyle w:val="font181"/>
                <w:rFonts w:eastAsia="宋体"/>
                <w:lang/>
              </w:rPr>
              <w:t>20mm</w:t>
            </w:r>
            <w:r>
              <w:rPr>
                <w:rStyle w:val="font91"/>
                <w:rFonts w:hint="default"/>
                <w:lang/>
              </w:rPr>
              <w:t>的矩形截面。障碍物上角半径最大为</w:t>
            </w:r>
            <w:r>
              <w:rPr>
                <w:rStyle w:val="font181"/>
                <w:rFonts w:eastAsia="宋体"/>
                <w:lang/>
              </w:rPr>
              <w:t>2mm</w:t>
            </w:r>
            <w:r>
              <w:rPr>
                <w:rStyle w:val="font91"/>
                <w:rFonts w:hint="default"/>
                <w:lang/>
              </w:rPr>
              <w:t>。对于用手推的移动</w:t>
            </w:r>
            <w:r>
              <w:rPr>
                <w:rStyle w:val="font181"/>
                <w:rFonts w:eastAsia="宋体"/>
                <w:lang/>
              </w:rPr>
              <w:t>ME</w:t>
            </w:r>
            <w:r>
              <w:rPr>
                <w:rStyle w:val="font91"/>
                <w:rFonts w:hint="default"/>
                <w:lang/>
              </w:rPr>
              <w:t>系统，轮子和脚轮以</w:t>
            </w:r>
            <w:r>
              <w:rPr>
                <w:rStyle w:val="font181"/>
                <w:rFonts w:eastAsia="宋体"/>
                <w:lang/>
              </w:rPr>
              <w:t xml:space="preserve">0.3 m/s </w:t>
            </w:r>
            <w:r>
              <w:rPr>
                <w:rStyle w:val="font181"/>
                <w:rFonts w:eastAsia="宋体"/>
                <w:lang/>
              </w:rPr>
              <w:t>± 0.1 m/s</w:t>
            </w:r>
            <w:r>
              <w:rPr>
                <w:rStyle w:val="font91"/>
                <w:rFonts w:hint="default"/>
                <w:lang/>
              </w:rPr>
              <w:t>速度，或对于电动的</w:t>
            </w:r>
            <w:r>
              <w:rPr>
                <w:rStyle w:val="font181"/>
                <w:rFonts w:eastAsia="宋体"/>
                <w:lang/>
              </w:rPr>
              <w:t>ME</w:t>
            </w:r>
            <w:r>
              <w:rPr>
                <w:rStyle w:val="font91"/>
                <w:rFonts w:hint="default"/>
                <w:lang/>
              </w:rPr>
              <w:t>系统，以最大速度推向障碍物。</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42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5"/>
                <w:szCs w:val="15"/>
              </w:rPr>
            </w:pPr>
            <w:r>
              <w:rPr>
                <w:rStyle w:val="font91"/>
                <w:rFonts w:hint="default"/>
                <w:lang/>
              </w:rPr>
              <w:t>移动</w:t>
            </w:r>
            <w:r>
              <w:rPr>
                <w:rStyle w:val="font181"/>
                <w:rFonts w:eastAsia="宋体"/>
                <w:lang/>
              </w:rPr>
              <w:t>ME</w:t>
            </w:r>
            <w:r>
              <w:rPr>
                <w:rStyle w:val="font91"/>
                <w:rFonts w:hint="default"/>
                <w:lang/>
              </w:rPr>
              <w:t>系统无法越过障碍物（如轮子半径较小）是不可接受的。失衡或者任何不可接受的风险都属于试验失败。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 w:val="15"/>
                <w:szCs w:val="15"/>
              </w:rPr>
            </w:pPr>
            <w:r>
              <w:rPr>
                <w:rStyle w:val="font91"/>
                <w:rFonts w:hint="default"/>
                <w:lang/>
              </w:rPr>
              <w:t>通过检查移动</w:t>
            </w:r>
            <w:r>
              <w:rPr>
                <w:rStyle w:val="font181"/>
                <w:rFonts w:eastAsia="宋体"/>
                <w:lang/>
              </w:rPr>
              <w:t>ME</w:t>
            </w:r>
            <w:r>
              <w:rPr>
                <w:rStyle w:val="font91"/>
                <w:rFonts w:hint="default"/>
                <w:lang/>
              </w:rPr>
              <w:t>系统、部件以及风险管理文件确定不可接受的风险。</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201.9.7.6</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替换：</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05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压力控制装置</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通用标准</w:t>
            </w:r>
            <w:r>
              <w:rPr>
                <w:rStyle w:val="font112"/>
                <w:rFonts w:ascii="宋体" w:eastAsia="宋体" w:hAnsi="宋体" w:cs="宋体"/>
                <w:sz w:val="24"/>
                <w:szCs w:val="24"/>
                <w:lang/>
              </w:rPr>
              <w:t>9.7.7</w:t>
            </w:r>
            <w:r>
              <w:rPr>
                <w:rStyle w:val="font51"/>
                <w:rFonts w:hint="default"/>
                <w:lang/>
              </w:rPr>
              <w:t>要求内窥镜设备带有压力释放装置，内窥镜设备任何调节压力的压力控制装置都应能在额定荷载下完成合适的运行周期，周期数由制造商确定，在正常使用条件下，应能在防止压力超过压力释放装置设定值的</w:t>
            </w:r>
            <w:r>
              <w:rPr>
                <w:rStyle w:val="font112"/>
                <w:rFonts w:ascii="宋体" w:eastAsia="宋体" w:hAnsi="宋体" w:cs="宋体"/>
                <w:sz w:val="24"/>
                <w:szCs w:val="24"/>
                <w:lang/>
              </w:rPr>
              <w:t>90%</w:t>
            </w:r>
            <w:r>
              <w:rPr>
                <w:rStyle w:val="font5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2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通过检查制造商提供的元器件数据，</w:t>
            </w:r>
            <w:r>
              <w:rPr>
                <w:rStyle w:val="font112"/>
                <w:rFonts w:ascii="宋体" w:eastAsia="宋体" w:hAnsi="宋体" w:cs="宋体"/>
                <w:sz w:val="24"/>
                <w:szCs w:val="24"/>
                <w:lang/>
              </w:rPr>
              <w:t>ME</w:t>
            </w:r>
            <w:r>
              <w:rPr>
                <w:rStyle w:val="font51"/>
                <w:rFonts w:hint="default"/>
                <w:lang/>
              </w:rPr>
              <w:t>设备和风险管理文件，必要时进行功能性测试，是否符合要求。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201.10.5</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替换：</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765"/>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其他可见电磁辐射</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如适用，制造商应在风险管理过程中给出可见电磁辐射相关的风险，包含预期目的是通过内窥镜设备为内部观察或成像提供照明发光二极管。</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single" w:sz="4" w:space="0" w:color="auto"/>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201.10.6</w:t>
            </w:r>
          </w:p>
        </w:tc>
        <w:tc>
          <w:tcPr>
            <w:tcW w:w="4928"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替换：</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765"/>
        </w:trPr>
        <w:tc>
          <w:tcPr>
            <w:tcW w:w="1972" w:type="dxa"/>
            <w:tcBorders>
              <w:top w:val="nil"/>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红外线辐射</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如适用，制造商应在风险管理过程中给出红外线辐射相关的风险，要包含预期目的是通过内窥镜设备为内部观察或成像提供照明发光二极管。</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4" w:space="0" w:color="auto"/>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检查风险管理文件，是否符合要求。</w:t>
            </w: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765"/>
        </w:trPr>
        <w:tc>
          <w:tcPr>
            <w:tcW w:w="1972"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lastRenderedPageBreak/>
              <w:t>201.10.7</w:t>
            </w:r>
          </w:p>
        </w:tc>
        <w:tc>
          <w:tcPr>
            <w:tcW w:w="4928" w:type="dxa"/>
            <w:tcBorders>
              <w:top w:val="single" w:sz="4" w:space="0" w:color="auto"/>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如适用，制造商应在风险管理过程中给出紫外线辐射相关的风险，包含预期目的是通过内窥镜设备为内部观察或成像提供照明发光二极管。</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紫外线辐射</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single" w:sz="8" w:space="0" w:color="000000"/>
              <w:left w:val="single" w:sz="8" w:space="0" w:color="000000"/>
              <w:bottom w:val="nil"/>
              <w:right w:val="nil"/>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201.11.1 </w:t>
            </w:r>
          </w:p>
        </w:tc>
        <w:tc>
          <w:tcPr>
            <w:tcW w:w="4928" w:type="dxa"/>
            <w:tcBorders>
              <w:top w:val="single" w:sz="8" w:space="0" w:color="000000"/>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除下述内容外，通用标准的第</w:t>
            </w:r>
            <w:r>
              <w:rPr>
                <w:rStyle w:val="font112"/>
                <w:rFonts w:ascii="宋体" w:eastAsia="宋体" w:hAnsi="宋体" w:cs="宋体"/>
                <w:sz w:val="24"/>
                <w:szCs w:val="24"/>
                <w:lang/>
              </w:rPr>
              <w:t>11</w:t>
            </w:r>
            <w:r>
              <w:rPr>
                <w:rStyle w:val="font51"/>
                <w:rFonts w:hint="default"/>
                <w:lang/>
              </w:rPr>
              <w:t>章适用。</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ME</w:t>
            </w:r>
            <w:r>
              <w:rPr>
                <w:rFonts w:ascii="黑体" w:eastAsia="黑体" w:hAnsi="宋体" w:cs="黑体" w:hint="eastAsia"/>
                <w:color w:val="000000"/>
                <w:kern w:val="0"/>
                <w:szCs w:val="21"/>
                <w:lang/>
              </w:rPr>
              <w:t>设备的超温</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201.11.1 ME</w:t>
            </w:r>
            <w:r>
              <w:rPr>
                <w:rFonts w:ascii="黑体" w:eastAsia="黑体" w:hAnsi="宋体" w:cs="黑体" w:hint="eastAsia"/>
                <w:color w:val="000000"/>
                <w:kern w:val="0"/>
                <w:szCs w:val="21"/>
                <w:lang/>
              </w:rPr>
              <w:t>设备的超温</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Style w:val="font31"/>
                <w:rFonts w:hint="default"/>
                <w:lang/>
              </w:rPr>
              <w:t xml:space="preserve">201.11.1.2  </w:t>
            </w:r>
            <w:r>
              <w:rPr>
                <w:rStyle w:val="font31"/>
                <w:rFonts w:hint="default"/>
                <w:lang/>
              </w:rPr>
              <w:t>应用部分的温度</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b/>
                <w:bCs/>
                <w:color w:val="000000"/>
                <w:szCs w:val="21"/>
              </w:rPr>
            </w:pPr>
            <w:r>
              <w:rPr>
                <w:rStyle w:val="font81"/>
                <w:rFonts w:hint="default"/>
                <w:lang/>
              </w:rPr>
              <w:t>201.11.1.2.2  *</w:t>
            </w:r>
            <w:r>
              <w:rPr>
                <w:rStyle w:val="font31"/>
                <w:rFonts w:hint="default"/>
                <w:lang/>
              </w:rPr>
              <w:t>不用于向</w:t>
            </w:r>
            <w:r>
              <w:rPr>
                <w:rStyle w:val="font81"/>
                <w:rFonts w:hint="default"/>
                <w:lang/>
              </w:rPr>
              <w:t>患者</w:t>
            </w:r>
            <w:r>
              <w:rPr>
                <w:rStyle w:val="font31"/>
                <w:rFonts w:hint="default"/>
                <w:lang/>
              </w:rPr>
              <w:t>提供热量的</w:t>
            </w:r>
            <w:r>
              <w:rPr>
                <w:rStyle w:val="font81"/>
                <w:rFonts w:hint="default"/>
                <w:lang/>
              </w:rPr>
              <w:t>应用部分</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以下情况下，不需要在使用说明书中提及最高温度：</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465"/>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8"/>
                <w:szCs w:val="18"/>
              </w:rPr>
            </w:pPr>
            <w:r>
              <w:rPr>
                <w:rStyle w:val="font121"/>
                <w:rFonts w:hint="default"/>
                <w:lang/>
              </w:rPr>
              <w:t>——</w:t>
            </w:r>
            <w:r>
              <w:rPr>
                <w:rStyle w:val="font121"/>
                <w:rFonts w:hint="default"/>
                <w:lang/>
              </w:rPr>
              <w:t>因与带电内治疗器械一起使用，内窥镜的插入部分表面温度超过</w:t>
            </w:r>
            <w:r>
              <w:rPr>
                <w:rStyle w:val="font171"/>
                <w:rFonts w:eastAsia="宋体"/>
                <w:lang/>
              </w:rPr>
              <w:t>41</w:t>
            </w:r>
            <w:r>
              <w:rPr>
                <w:rStyle w:val="font121"/>
                <w:rFonts w:hint="default"/>
                <w:lang/>
              </w:rPr>
              <w:t>℃</w:t>
            </w:r>
            <w:r>
              <w:rPr>
                <w:rStyle w:val="font12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8"/>
                <w:szCs w:val="18"/>
              </w:rPr>
            </w:pPr>
            <w:r>
              <w:rPr>
                <w:rStyle w:val="font121"/>
                <w:rFonts w:hint="default"/>
                <w:lang/>
              </w:rPr>
              <w:t>——</w:t>
            </w:r>
            <w:r>
              <w:rPr>
                <w:rStyle w:val="font121"/>
                <w:rFonts w:hint="default"/>
                <w:lang/>
              </w:rPr>
              <w:t>内窥镜的光出射部分的温度超过</w:t>
            </w:r>
            <w:r>
              <w:rPr>
                <w:rStyle w:val="font171"/>
                <w:rFonts w:eastAsia="宋体"/>
                <w:lang/>
              </w:rPr>
              <w:t>41</w:t>
            </w:r>
            <w:r>
              <w:rPr>
                <w:rStyle w:val="font121"/>
                <w:rFonts w:hint="default"/>
                <w:lang/>
              </w:rPr>
              <w:t>℃</w:t>
            </w:r>
            <w:r>
              <w:rPr>
                <w:rStyle w:val="font12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8"/>
                <w:szCs w:val="18"/>
              </w:rPr>
            </w:pPr>
            <w:r>
              <w:rPr>
                <w:rStyle w:val="font121"/>
                <w:rFonts w:hint="default"/>
                <w:lang/>
              </w:rPr>
              <w:t>——</w:t>
            </w:r>
            <w:r>
              <w:rPr>
                <w:rStyle w:val="font121"/>
                <w:rFonts w:hint="default"/>
                <w:lang/>
              </w:rPr>
              <w:t>连接在供给装置或内窥镜上的导光束温度超过</w:t>
            </w:r>
            <w:r>
              <w:rPr>
                <w:rStyle w:val="font171"/>
                <w:rFonts w:eastAsia="宋体"/>
                <w:lang/>
              </w:rPr>
              <w:t>41</w:t>
            </w:r>
            <w:r>
              <w:rPr>
                <w:rStyle w:val="font121"/>
                <w:rFonts w:hint="default"/>
                <w:lang/>
              </w:rPr>
              <w:t>℃</w:t>
            </w:r>
            <w:r>
              <w:rPr>
                <w:rStyle w:val="font12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915"/>
        </w:trPr>
        <w:tc>
          <w:tcPr>
            <w:tcW w:w="1972" w:type="dxa"/>
            <w:tcBorders>
              <w:top w:val="nil"/>
              <w:left w:val="single" w:sz="8" w:space="0" w:color="000000"/>
              <w:bottom w:val="nil"/>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 w:val="18"/>
                <w:szCs w:val="18"/>
              </w:rPr>
            </w:pPr>
            <w:r>
              <w:rPr>
                <w:rStyle w:val="font121"/>
                <w:rFonts w:hint="default"/>
                <w:lang/>
              </w:rPr>
              <w:t>使用说明书应给出合适的警告信息并给出采取措施的建议，避免对患者产生不可接受的风险。这些警告信息应包括对表面高温的所产生潜在临床结果的说明，如永久性组织损伤或凝结（见</w:t>
            </w:r>
            <w:r>
              <w:rPr>
                <w:rStyle w:val="font171"/>
                <w:rFonts w:eastAsia="宋体"/>
                <w:lang/>
              </w:rPr>
              <w:t>201.7.9.2.2</w:t>
            </w:r>
            <w:r>
              <w:rPr>
                <w:rStyle w:val="font12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nil"/>
            </w:tcBorders>
            <w:shd w:val="clear" w:color="auto" w:fill="auto"/>
            <w:vAlign w:val="center"/>
          </w:tcPr>
          <w:p w:rsidR="00652E6F" w:rsidRDefault="00652E6F">
            <w:pPr>
              <w:jc w:val="center"/>
              <w:rPr>
                <w:rFonts w:ascii="黑体" w:eastAsia="黑体" w:hAnsi="宋体" w:cs="黑体"/>
                <w:color w:val="000000"/>
                <w:szCs w:val="21"/>
              </w:rPr>
            </w:pPr>
          </w:p>
        </w:tc>
        <w:tc>
          <w:tcPr>
            <w:tcW w:w="4928" w:type="dxa"/>
            <w:tcBorders>
              <w:top w:val="nil"/>
              <w:left w:val="single" w:sz="8" w:space="0" w:color="000000"/>
              <w:bottom w:val="single" w:sz="8" w:space="0" w:color="000000"/>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 w:val="18"/>
                <w:szCs w:val="18"/>
              </w:rPr>
            </w:pPr>
            <w:r>
              <w:rPr>
                <w:rFonts w:ascii="宋体" w:eastAsia="宋体" w:hAnsi="宋体" w:cs="宋体" w:hint="eastAsia"/>
                <w:i/>
                <w:iCs/>
                <w:color w:val="000000"/>
                <w:kern w:val="0"/>
                <w:sz w:val="18"/>
                <w:szCs w:val="18"/>
                <w:lang/>
              </w:rPr>
              <w:t>检查风险管理文件，是否符合要求</w:t>
            </w: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201.11.101</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增补条款：</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Style w:val="font31"/>
                <w:rFonts w:hint="default"/>
                <w:lang/>
              </w:rPr>
              <w:t xml:space="preserve"> </w:t>
            </w:r>
            <w:r>
              <w:rPr>
                <w:rStyle w:val="font31"/>
                <w:rFonts w:hint="default"/>
                <w:lang/>
              </w:rPr>
              <w:t>互连条件</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201.11.101 </w:t>
            </w:r>
            <w:r>
              <w:rPr>
                <w:rFonts w:ascii="黑体" w:eastAsia="黑体" w:hAnsi="宋体" w:cs="黑体" w:hint="eastAsia"/>
                <w:color w:val="000000"/>
                <w:kern w:val="0"/>
                <w:szCs w:val="21"/>
                <w:lang/>
              </w:rPr>
              <w:t>互连条件</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201.11.101.1 </w:t>
            </w:r>
            <w:r>
              <w:rPr>
                <w:rFonts w:ascii="黑体" w:eastAsia="黑体" w:hAnsi="宋体" w:cs="黑体" w:hint="eastAsia"/>
                <w:color w:val="000000"/>
                <w:kern w:val="0"/>
                <w:szCs w:val="21"/>
                <w:lang/>
              </w:rPr>
              <w:t>与激光器互连产生的热危害和其他危害</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03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制造商的风险管理过程应对由于激光设备与带电内窥镜和</w:t>
            </w:r>
            <w:r>
              <w:rPr>
                <w:rStyle w:val="font112"/>
                <w:rFonts w:ascii="宋体" w:eastAsia="宋体" w:hAnsi="宋体" w:cs="宋体"/>
                <w:sz w:val="24"/>
                <w:szCs w:val="24"/>
                <w:lang/>
              </w:rPr>
              <w:t>/</w:t>
            </w:r>
            <w:r>
              <w:rPr>
                <w:rStyle w:val="font51"/>
                <w:rFonts w:hint="default"/>
                <w:lang/>
              </w:rPr>
              <w:t>或带电内治疗器械结合使用，而对患者或操作人员造成热危害和其他风险进行说明，包括正常使用和单一故障状态下所造成的危害。</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1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——反射的激光能量会引起内窥镜的热危害（包括灼烧）；</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——反射的激光能量会引起潜在的眼损伤。</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25"/>
        </w:trPr>
        <w:tc>
          <w:tcPr>
            <w:tcW w:w="1972" w:type="dxa"/>
            <w:tcBorders>
              <w:top w:val="single" w:sz="4" w:space="0" w:color="auto"/>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201.11.101.2a</w:t>
            </w:r>
            <w:r>
              <w:rPr>
                <w:rFonts w:ascii="黑体" w:eastAsia="黑体" w:hAnsi="宋体" w:cs="黑体" w:hint="eastAsia"/>
                <w:color w:val="000000"/>
                <w:kern w:val="0"/>
                <w:szCs w:val="21"/>
                <w:lang/>
              </w:rPr>
              <w:t>）</w:t>
            </w:r>
          </w:p>
        </w:tc>
        <w:tc>
          <w:tcPr>
            <w:tcW w:w="4928"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Times New Roman" w:eastAsia="宋体" w:hAnsi="Times New Roman" w:cs="Times New Roman"/>
                <w:color w:val="000000"/>
                <w:szCs w:val="21"/>
              </w:rPr>
            </w:pPr>
            <w:r>
              <w:rPr>
                <w:rStyle w:val="font112"/>
                <w:rFonts w:ascii="宋体" w:eastAsia="宋体" w:hAnsi="宋体" w:cs="宋体"/>
                <w:sz w:val="24"/>
                <w:szCs w:val="24"/>
                <w:lang/>
              </w:rPr>
              <w:t>201.11.101.2 *</w:t>
            </w:r>
            <w:r>
              <w:rPr>
                <w:rStyle w:val="font51"/>
                <w:rFonts w:hint="default"/>
                <w:lang/>
              </w:rPr>
              <w:t>与高频手术设备互连造成的热危害和其他危害</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050"/>
        </w:trPr>
        <w:tc>
          <w:tcPr>
            <w:tcW w:w="1972" w:type="dxa"/>
            <w:tcBorders>
              <w:top w:val="nil"/>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w:t>
            </w:r>
            <w:r>
              <w:rPr>
                <w:rFonts w:ascii="黑体" w:eastAsia="黑体" w:hAnsi="宋体" w:cs="黑体" w:hint="eastAsia"/>
                <w:color w:val="000000"/>
                <w:kern w:val="0"/>
                <w:szCs w:val="21"/>
                <w:lang/>
              </w:rPr>
              <w:t>与高频手术设备互连造成的热危害和其他危害</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Times New Roman" w:eastAsia="宋体" w:hAnsi="Times New Roman" w:cs="Times New Roman"/>
                <w:color w:val="000000"/>
                <w:szCs w:val="21"/>
              </w:rPr>
            </w:pPr>
            <w:r>
              <w:rPr>
                <w:rStyle w:val="font112"/>
                <w:rFonts w:ascii="宋体" w:eastAsia="宋体" w:hAnsi="宋体" w:cs="宋体"/>
                <w:sz w:val="24"/>
                <w:szCs w:val="24"/>
                <w:lang/>
              </w:rPr>
              <w:t>a</w:t>
            </w:r>
            <w:r>
              <w:rPr>
                <w:rStyle w:val="font51"/>
                <w:rFonts w:hint="default"/>
                <w:lang/>
              </w:rPr>
              <w:t>）制造商的风险管理过程应对由于高频手术设备与带电内窥镜和</w:t>
            </w:r>
            <w:r>
              <w:rPr>
                <w:rStyle w:val="font112"/>
                <w:rFonts w:ascii="宋体" w:eastAsia="宋体" w:hAnsi="宋体" w:cs="宋体"/>
                <w:sz w:val="24"/>
                <w:szCs w:val="24"/>
                <w:lang/>
              </w:rPr>
              <w:t>/</w:t>
            </w:r>
            <w:r>
              <w:rPr>
                <w:rStyle w:val="font51"/>
                <w:rFonts w:hint="default"/>
                <w:lang/>
              </w:rPr>
              <w:t>或带电内治疗器械结合使用，而对患者或操作人员造成热危害和其他风险进行说明，包括正常使用和单一故障状态下所造成的危害：</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4" w:space="0" w:color="auto"/>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Times New Roman" w:eastAsia="宋体" w:hAnsi="Times New Roman" w:cs="Times New Roman"/>
                <w:color w:val="000000"/>
                <w:szCs w:val="21"/>
              </w:rPr>
            </w:pPr>
            <w:r>
              <w:rPr>
                <w:rStyle w:val="font112"/>
                <w:rFonts w:ascii="宋体" w:eastAsia="宋体" w:hAnsi="宋体" w:cs="宋体"/>
                <w:sz w:val="24"/>
                <w:szCs w:val="24"/>
                <w:lang/>
              </w:rPr>
              <w:t>1</w:t>
            </w:r>
            <w:r>
              <w:rPr>
                <w:rStyle w:val="font51"/>
                <w:rFonts w:hint="default"/>
                <w:lang/>
              </w:rPr>
              <w:t>）放电或电容耦合高频电流引起内窥镜的热损伤；</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4" w:space="0" w:color="auto"/>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Times New Roman" w:eastAsia="宋体" w:hAnsi="Times New Roman" w:cs="Times New Roman"/>
                <w:color w:val="000000"/>
                <w:szCs w:val="21"/>
              </w:rPr>
            </w:pPr>
            <w:r>
              <w:rPr>
                <w:rStyle w:val="font112"/>
                <w:rFonts w:ascii="宋体" w:eastAsia="宋体" w:hAnsi="宋体" w:cs="宋体"/>
                <w:sz w:val="24"/>
                <w:szCs w:val="24"/>
                <w:lang/>
              </w:rPr>
              <w:t>2</w:t>
            </w:r>
            <w:r>
              <w:rPr>
                <w:rStyle w:val="font51"/>
                <w:rFonts w:hint="default"/>
                <w:lang/>
              </w:rPr>
              <w:t>）高频电磁场在显示器上引起的图像干扰。</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4" w:space="0" w:color="auto"/>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检查风险管理文件，是否符合要求。</w:t>
            </w: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020"/>
        </w:trPr>
        <w:tc>
          <w:tcPr>
            <w:tcW w:w="1972"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lastRenderedPageBreak/>
              <w:t>201.11.101.2c</w:t>
            </w:r>
            <w:r>
              <w:rPr>
                <w:rFonts w:ascii="黑体" w:eastAsia="黑体" w:hAnsi="宋体" w:cs="黑体" w:hint="eastAsia"/>
                <w:color w:val="000000"/>
                <w:kern w:val="0"/>
                <w:szCs w:val="21"/>
                <w:lang/>
              </w:rPr>
              <w:t>）</w:t>
            </w:r>
          </w:p>
        </w:tc>
        <w:tc>
          <w:tcPr>
            <w:tcW w:w="4928"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Times New Roman" w:eastAsia="宋体" w:hAnsi="Times New Roman" w:cs="Times New Roman"/>
                <w:color w:val="000000"/>
                <w:szCs w:val="21"/>
              </w:rPr>
            </w:pPr>
            <w:r>
              <w:rPr>
                <w:rStyle w:val="font112"/>
                <w:rFonts w:ascii="宋体" w:eastAsia="宋体" w:hAnsi="宋体" w:cs="宋体"/>
                <w:sz w:val="24"/>
                <w:szCs w:val="24"/>
                <w:lang/>
              </w:rPr>
              <w:t>c</w:t>
            </w:r>
            <w:r>
              <w:rPr>
                <w:rStyle w:val="font51"/>
                <w:rFonts w:hint="default"/>
                <w:lang/>
              </w:rPr>
              <w:t>）带电内窥镜和带电内治疗器械均作为高频手术设备的一部分，正常使用时，与带电内治疗器械一起使用的带电内窥镜可接触的导电部分应绝缘，以便保护操作人员，防止受到电容耦合高频电流的热效应伤害。不得使用不能持久绝缘的不导电涂层，如涂漆等。通过检查，是否符合要求：</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1813"/>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w:t>
            </w:r>
            <w:r>
              <w:rPr>
                <w:rFonts w:ascii="黑体" w:eastAsia="黑体" w:hAnsi="宋体" w:cs="黑体" w:hint="eastAsia"/>
                <w:color w:val="000000"/>
                <w:kern w:val="0"/>
                <w:szCs w:val="21"/>
                <w:lang/>
              </w:rPr>
              <w:t>与高频手术设备互连造成的热危害和其他危害</w:t>
            </w: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Times New Roman" w:eastAsia="宋体" w:hAnsi="Times New Roman" w:cs="Times New Roman"/>
                <w:color w:val="000000"/>
                <w:szCs w:val="21"/>
              </w:rPr>
            </w:pPr>
            <w:r>
              <w:rPr>
                <w:rStyle w:val="font112"/>
                <w:rFonts w:ascii="宋体" w:eastAsia="宋体" w:hAnsi="宋体" w:cs="宋体"/>
                <w:sz w:val="24"/>
                <w:szCs w:val="24"/>
                <w:lang/>
              </w:rPr>
              <w:t>1</w:t>
            </w:r>
            <w:r>
              <w:rPr>
                <w:rStyle w:val="font51"/>
                <w:rFonts w:hint="default"/>
                <w:lang/>
              </w:rPr>
              <w:t>）在正常使用和单一故障状态下，检查风险管理文件，确定电容耦合高频电流不可能从带电内治疗器械传导到外露导电部分。</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single" w:sz="8" w:space="0" w:color="000000"/>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201.12</w:t>
            </w:r>
          </w:p>
        </w:tc>
        <w:tc>
          <w:tcPr>
            <w:tcW w:w="4928" w:type="dxa"/>
            <w:tcBorders>
              <w:top w:val="single" w:sz="8" w:space="0" w:color="000000"/>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除下述内容外，通用标准的第</w:t>
            </w:r>
            <w:r>
              <w:rPr>
                <w:rStyle w:val="font112"/>
                <w:rFonts w:ascii="宋体" w:eastAsia="宋体" w:hAnsi="宋体" w:cs="宋体"/>
                <w:sz w:val="24"/>
                <w:szCs w:val="24"/>
                <w:lang/>
              </w:rPr>
              <w:t>12</w:t>
            </w:r>
            <w:r>
              <w:rPr>
                <w:rStyle w:val="font51"/>
                <w:rFonts w:hint="default"/>
                <w:lang/>
              </w:rPr>
              <w:t>章适用。</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1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控制器和仪表的准确性和危险性输出的防护</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201.12.2 </w:t>
            </w:r>
            <w:r>
              <w:rPr>
                <w:rFonts w:ascii="黑体" w:eastAsia="黑体" w:hAnsi="宋体" w:cs="黑体" w:hint="eastAsia"/>
                <w:color w:val="000000"/>
                <w:kern w:val="0"/>
                <w:szCs w:val="21"/>
                <w:lang/>
              </w:rPr>
              <w:t>可用性</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652E6F">
            <w:pPr>
              <w:jc w:val="center"/>
              <w:rPr>
                <w:rFonts w:ascii="宋体" w:eastAsia="宋体" w:hAnsi="宋体" w:cs="宋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94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如风险管理过程给出没有与可用性相关的不可接受的风险，本条款不适用。</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45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黑体" w:eastAsia="黑体" w:hAnsi="宋体" w:cs="黑体"/>
                <w:color w:val="000000"/>
                <w:sz w:val="18"/>
                <w:szCs w:val="18"/>
              </w:rPr>
            </w:pPr>
            <w:r>
              <w:rPr>
                <w:rStyle w:val="font71"/>
                <w:rFonts w:hint="default"/>
                <w:lang/>
              </w:rPr>
              <w:t>注：</w:t>
            </w:r>
            <w:r>
              <w:rPr>
                <w:rStyle w:val="font121"/>
                <w:rFonts w:hint="default"/>
                <w:lang/>
              </w:rPr>
              <w:t>如内窥镜设备、附件和带电内治疗器械的预期用途和处理都相同或相似，可用性过程和验证以历史数据为基础进行评估。</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201.12.4</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Style w:val="font31"/>
                <w:rFonts w:hint="default"/>
                <w:lang/>
              </w:rPr>
              <w:t xml:space="preserve">201.12.4.4 </w:t>
            </w:r>
            <w:r>
              <w:rPr>
                <w:rStyle w:val="font31"/>
                <w:rFonts w:hint="default"/>
                <w:lang/>
              </w:rPr>
              <w:t>不正确的输出</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危险输出的防护</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76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为精确诊断或治疗所提供的特殊光谱输出或频率，出现重大错误或缺失，而经过培训的操作者无法识别，这些信息应记录在风险管理过程中。</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201.13</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除下述内容外，通用标准的第</w:t>
            </w:r>
            <w:r>
              <w:rPr>
                <w:rStyle w:val="font112"/>
                <w:rFonts w:ascii="宋体" w:eastAsia="宋体" w:hAnsi="宋体" w:cs="宋体"/>
                <w:sz w:val="24"/>
                <w:szCs w:val="24"/>
                <w:lang/>
              </w:rPr>
              <w:t>13</w:t>
            </w:r>
            <w:r>
              <w:rPr>
                <w:rStyle w:val="font51"/>
                <w:rFonts w:hint="default"/>
                <w:lang/>
              </w:rPr>
              <w:t>章适用。</w:t>
            </w:r>
          </w:p>
        </w:tc>
        <w:tc>
          <w:tcPr>
            <w:tcW w:w="1865" w:type="dxa"/>
            <w:tcBorders>
              <w:top w:val="single" w:sz="8" w:space="0" w:color="000000"/>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8" w:space="0" w:color="000000"/>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危险情况与故障状态</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b/>
                <w:bCs/>
                <w:color w:val="000000"/>
                <w:szCs w:val="21"/>
              </w:rPr>
            </w:pPr>
            <w:r>
              <w:rPr>
                <w:rStyle w:val="font81"/>
                <w:rFonts w:hint="default"/>
                <w:lang/>
              </w:rPr>
              <w:t>201.13.1</w:t>
            </w:r>
            <w:r>
              <w:rPr>
                <w:rStyle w:val="font31"/>
                <w:rFonts w:hint="default"/>
                <w:lang/>
              </w:rPr>
              <w:t>特定的</w:t>
            </w:r>
            <w:r>
              <w:rPr>
                <w:rStyle w:val="font81"/>
                <w:rFonts w:hint="default"/>
                <w:lang/>
              </w:rPr>
              <w:t>危害处境</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201.13.1.101 </w:t>
            </w:r>
            <w:r>
              <w:rPr>
                <w:rFonts w:ascii="黑体" w:eastAsia="黑体" w:hAnsi="宋体" w:cs="黑体" w:hint="eastAsia"/>
                <w:color w:val="000000"/>
                <w:kern w:val="0"/>
                <w:szCs w:val="21"/>
                <w:lang/>
              </w:rPr>
              <w:t>影像观察</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76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风险管理过程应解决在内窥镜术期间可能存在操作员（不论是有意或无意）所观察的是录像，而不是实时影像的问题。</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Fonts w:ascii="宋体" w:eastAsia="宋体" w:hAnsi="宋体" w:cs="宋体" w:hint="eastAsia"/>
                <w:i/>
                <w:iCs/>
                <w:color w:val="000000"/>
                <w:kern w:val="0"/>
                <w:szCs w:val="21"/>
                <w:lang/>
              </w:rPr>
              <w:t>检查风险管理文件，是否符合要求。</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849"/>
        </w:trPr>
        <w:tc>
          <w:tcPr>
            <w:tcW w:w="1972" w:type="dxa"/>
            <w:tcBorders>
              <w:top w:val="nil"/>
              <w:left w:val="single" w:sz="8" w:space="0" w:color="000000"/>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single" w:sz="4" w:space="0" w:color="auto"/>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Times New Roman" w:eastAsia="宋体" w:hAnsi="Times New Roman" w:cs="Times New Roman"/>
                <w:color w:val="000000"/>
                <w:szCs w:val="21"/>
              </w:rPr>
            </w:pPr>
            <w:r>
              <w:rPr>
                <w:rStyle w:val="font112"/>
                <w:rFonts w:ascii="宋体" w:eastAsia="宋体" w:hAnsi="宋体" w:cs="宋体"/>
                <w:sz w:val="24"/>
                <w:szCs w:val="24"/>
                <w:lang/>
              </w:rPr>
              <w:lastRenderedPageBreak/>
              <w:t>201.15.4</w:t>
            </w:r>
          </w:p>
        </w:tc>
        <w:tc>
          <w:tcPr>
            <w:tcW w:w="4928"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Style w:val="font31"/>
                <w:rFonts w:hint="default"/>
                <w:lang/>
              </w:rPr>
              <w:t>201.15.4.1  *</w:t>
            </w:r>
            <w:r>
              <w:rPr>
                <w:rStyle w:val="font31"/>
                <w:rFonts w:hint="default"/>
                <w:lang/>
              </w:rPr>
              <w:t>连接器的构造</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4" w:space="0" w:color="auto"/>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b/>
                <w:bCs/>
                <w:color w:val="000000"/>
                <w:szCs w:val="21"/>
              </w:rPr>
            </w:pPr>
            <w:r>
              <w:rPr>
                <w:rStyle w:val="font81"/>
                <w:rFonts w:hint="default"/>
                <w:lang/>
              </w:rPr>
              <w:t>ME</w:t>
            </w:r>
            <w:r>
              <w:rPr>
                <w:rStyle w:val="font81"/>
                <w:rFonts w:hint="default"/>
                <w:lang/>
              </w:rPr>
              <w:t>设备</w:t>
            </w:r>
            <w:r>
              <w:rPr>
                <w:rStyle w:val="font31"/>
                <w:rFonts w:hint="default"/>
                <w:lang/>
              </w:rPr>
              <w:t>元器件和通用组件</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要求</w:t>
            </w:r>
            <w:r>
              <w:rPr>
                <w:rStyle w:val="font112"/>
                <w:rFonts w:ascii="宋体" w:eastAsia="宋体" w:hAnsi="宋体" w:cs="宋体"/>
                <w:sz w:val="24"/>
                <w:szCs w:val="24"/>
                <w:lang/>
              </w:rPr>
              <w:t>b</w:t>
            </w:r>
            <w:r>
              <w:rPr>
                <w:rStyle w:val="font51"/>
                <w:rFonts w:hint="default"/>
                <w:lang/>
              </w:rPr>
              <w:t>）的增补：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rsidTr="00034A7A">
        <w:trPr>
          <w:trHeight w:val="780"/>
        </w:trPr>
        <w:tc>
          <w:tcPr>
            <w:tcW w:w="1972" w:type="dxa"/>
            <w:tcBorders>
              <w:top w:val="nil"/>
              <w:left w:val="single" w:sz="4" w:space="0" w:color="auto"/>
              <w:bottom w:val="nil"/>
              <w:right w:val="single" w:sz="8" w:space="0" w:color="000000"/>
            </w:tcBorders>
            <w:shd w:val="clear" w:color="auto" w:fill="auto"/>
            <w:vAlign w:val="center"/>
          </w:tcPr>
          <w:p w:rsidR="00652E6F" w:rsidRDefault="00652E6F">
            <w:pPr>
              <w:jc w:val="center"/>
              <w:rPr>
                <w:rFonts w:ascii="宋体" w:eastAsia="宋体" w:hAnsi="宋体" w:cs="宋体"/>
                <w:color w:val="000000"/>
                <w:szCs w:val="21"/>
              </w:rPr>
            </w:pPr>
          </w:p>
        </w:tc>
        <w:tc>
          <w:tcPr>
            <w:tcW w:w="4928" w:type="dxa"/>
            <w:tcBorders>
              <w:top w:val="nil"/>
              <w:left w:val="single" w:sz="8" w:space="0" w:color="000000"/>
              <w:bottom w:val="single" w:sz="4" w:space="0" w:color="auto"/>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内窥镜和内治疗器械制造商实施风险管理过程中，应解决可能存在预期用于内窥镜或内治疗器械的</w:t>
            </w:r>
            <w:r>
              <w:rPr>
                <w:rStyle w:val="font112"/>
                <w:rFonts w:ascii="宋体" w:eastAsia="宋体" w:hAnsi="宋体" w:cs="宋体"/>
                <w:sz w:val="24"/>
                <w:szCs w:val="24"/>
                <w:lang/>
              </w:rPr>
              <w:t>ME</w:t>
            </w:r>
            <w:r>
              <w:rPr>
                <w:rStyle w:val="font51"/>
                <w:rFonts w:hint="default"/>
                <w:lang/>
              </w:rPr>
              <w:t>设备，错误连接到非内窥患者连接的问题（如进入静脉的应用）。</w:t>
            </w: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rsidTr="00034A7A">
        <w:trPr>
          <w:trHeight w:val="765"/>
        </w:trPr>
        <w:tc>
          <w:tcPr>
            <w:tcW w:w="1972" w:type="dxa"/>
            <w:tcBorders>
              <w:top w:val="nil"/>
              <w:left w:val="single" w:sz="4" w:space="0" w:color="auto"/>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single" w:sz="4" w:space="0" w:color="auto"/>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对于预期用途包含多个应用连接器，按照风险管理过程要求，对于特别的预期用途，不能有相似的设计而产生错误连接。</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450"/>
        </w:trPr>
        <w:tc>
          <w:tcPr>
            <w:tcW w:w="1972" w:type="dxa"/>
            <w:tcBorders>
              <w:top w:val="nil"/>
              <w:left w:val="single" w:sz="4" w:space="0" w:color="auto"/>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黑体" w:eastAsia="黑体" w:hAnsi="宋体" w:cs="黑体"/>
                <w:color w:val="000000"/>
                <w:sz w:val="18"/>
                <w:szCs w:val="18"/>
              </w:rPr>
            </w:pPr>
            <w:r>
              <w:rPr>
                <w:rStyle w:val="font71"/>
                <w:rFonts w:hint="default"/>
                <w:lang/>
              </w:rPr>
              <w:t>注：</w:t>
            </w:r>
            <w:r>
              <w:rPr>
                <w:rStyle w:val="font121"/>
                <w:rFonts w:hint="default"/>
                <w:lang/>
              </w:rPr>
              <w:t>若与风险管理过程不冲突，可采用与设备的预期用途相匹配的连接部件相关标准。</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4" w:space="0" w:color="auto"/>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Style w:val="font61"/>
                <w:rFonts w:hint="default"/>
                <w:lang/>
              </w:rPr>
              <w:t>检查风险管理文件，是否符合要求</w:t>
            </w:r>
            <w:r>
              <w:rPr>
                <w:rStyle w:val="font51"/>
                <w:rFonts w:hint="default"/>
                <w:lang/>
              </w:rPr>
              <w:t>。</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4" w:space="0" w:color="auto"/>
              <w:bottom w:val="single" w:sz="4" w:space="0" w:color="auto"/>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Cs w:val="21"/>
              </w:rPr>
            </w:pPr>
          </w:p>
        </w:tc>
        <w:tc>
          <w:tcPr>
            <w:tcW w:w="1865" w:type="dxa"/>
            <w:tcBorders>
              <w:top w:val="nil"/>
              <w:left w:val="single" w:sz="8" w:space="0" w:color="000000"/>
              <w:bottom w:val="single" w:sz="4" w:space="0" w:color="auto"/>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4" w:space="0" w:color="auto"/>
              <w:right w:val="single" w:sz="4" w:space="0" w:color="auto"/>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202</w:t>
            </w:r>
          </w:p>
        </w:tc>
        <w:tc>
          <w:tcPr>
            <w:tcW w:w="4928" w:type="dxa"/>
            <w:tcBorders>
              <w:top w:val="single" w:sz="4" w:space="0" w:color="auto"/>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Style w:val="font51"/>
                <w:rFonts w:hint="default"/>
                <w:lang/>
              </w:rPr>
              <w:t>除下述内容外，</w:t>
            </w:r>
            <w:r>
              <w:rPr>
                <w:rStyle w:val="font112"/>
                <w:rFonts w:ascii="宋体" w:eastAsia="宋体" w:hAnsi="宋体" w:cs="宋体"/>
                <w:sz w:val="24"/>
                <w:szCs w:val="24"/>
                <w:lang/>
              </w:rPr>
              <w:t>YY 9706.102</w:t>
            </w:r>
            <w:r>
              <w:rPr>
                <w:rStyle w:val="font51"/>
                <w:rFonts w:hint="default"/>
                <w:lang/>
              </w:rPr>
              <w:t>适用。</w:t>
            </w:r>
          </w:p>
        </w:tc>
        <w:tc>
          <w:tcPr>
            <w:tcW w:w="1865" w:type="dxa"/>
            <w:tcBorders>
              <w:top w:val="single" w:sz="4" w:space="0" w:color="auto"/>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single" w:sz="4" w:space="0" w:color="auto"/>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DB2CBB">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rPr>
              <w:t>电磁兼容性——要求和测试</w:t>
            </w: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Style w:val="font31"/>
                <w:rFonts w:hint="default"/>
                <w:lang/>
              </w:rPr>
              <w:t xml:space="preserve">202.6.2  </w:t>
            </w:r>
            <w:r>
              <w:rPr>
                <w:rStyle w:val="font31"/>
                <w:rFonts w:hint="default"/>
                <w:lang/>
              </w:rPr>
              <w:t>抗扰度</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vAlign w:val="center"/>
          </w:tcPr>
          <w:p w:rsidR="00652E6F" w:rsidRDefault="00652E6F">
            <w:pPr>
              <w:jc w:val="center"/>
              <w:rPr>
                <w:rFonts w:ascii="宋体" w:eastAsia="宋体" w:hAnsi="宋体" w:cs="宋体"/>
                <w:color w:val="000000"/>
                <w:szCs w:val="21"/>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202.6.2.1 </w:t>
            </w:r>
            <w:r>
              <w:rPr>
                <w:rFonts w:ascii="黑体" w:eastAsia="黑体" w:hAnsi="宋体" w:cs="黑体" w:hint="eastAsia"/>
                <w:color w:val="000000"/>
                <w:kern w:val="0"/>
                <w:szCs w:val="21"/>
                <w:lang/>
              </w:rPr>
              <w:t>概述</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黑体" w:eastAsia="黑体" w:hAnsi="宋体" w:cs="黑体"/>
                <w:color w:val="000000"/>
                <w:szCs w:val="21"/>
              </w:rPr>
            </w:pPr>
            <w:r>
              <w:rPr>
                <w:rFonts w:ascii="黑体" w:eastAsia="黑体" w:hAnsi="宋体" w:cs="黑体" w:hint="eastAsia"/>
                <w:color w:val="000000"/>
                <w:kern w:val="0"/>
                <w:szCs w:val="21"/>
                <w:lang/>
              </w:rPr>
              <w:t xml:space="preserve">202.6.2.1.10 </w:t>
            </w:r>
            <w:r>
              <w:rPr>
                <w:rFonts w:ascii="黑体" w:eastAsia="黑体" w:hAnsi="宋体" w:cs="黑体" w:hint="eastAsia"/>
                <w:color w:val="000000"/>
                <w:kern w:val="0"/>
                <w:szCs w:val="21"/>
                <w:lang/>
              </w:rPr>
              <w:t>符合性准则</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增补：</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以下情况认为是内窥镜设备可接受的故障：</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765"/>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auto"/>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——供给装置的操作面板上清晰显示时，会出现照明或图像显示的短暂干扰，或重置成为“待机”或“安全”模式；</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510"/>
        </w:trPr>
        <w:tc>
          <w:tcPr>
            <w:tcW w:w="1972" w:type="dxa"/>
            <w:tcBorders>
              <w:top w:val="nil"/>
              <w:left w:val="single" w:sz="8" w:space="0" w:color="000000"/>
              <w:bottom w:val="nil"/>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nil"/>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rPr>
              <w:t>——如果风险管理过程给出不会导致不可接受的风险的故障。</w:t>
            </w:r>
          </w:p>
        </w:tc>
        <w:tc>
          <w:tcPr>
            <w:tcW w:w="1865" w:type="dxa"/>
            <w:tcBorders>
              <w:top w:val="nil"/>
              <w:left w:val="single" w:sz="8" w:space="0" w:color="000000"/>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85"/>
        </w:trPr>
        <w:tc>
          <w:tcPr>
            <w:tcW w:w="1972" w:type="dxa"/>
            <w:tcBorders>
              <w:top w:val="nil"/>
              <w:left w:val="single" w:sz="8" w:space="0" w:color="000000"/>
              <w:bottom w:val="single" w:sz="8" w:space="0" w:color="000000"/>
              <w:right w:val="single" w:sz="8" w:space="0" w:color="000000"/>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single" w:sz="8" w:space="0" w:color="000000"/>
              <w:bottom w:val="single" w:sz="8" w:space="0" w:color="000000"/>
              <w:right w:val="single" w:sz="8" w:space="0" w:color="000000"/>
            </w:tcBorders>
            <w:shd w:val="clear" w:color="auto" w:fill="FFFF00"/>
            <w:vAlign w:val="center"/>
          </w:tcPr>
          <w:p w:rsidR="00652E6F" w:rsidRDefault="00DB2CBB">
            <w:pPr>
              <w:widowControl/>
              <w:jc w:val="left"/>
              <w:textAlignment w:val="center"/>
              <w:rPr>
                <w:rFonts w:ascii="宋体" w:eastAsia="宋体" w:hAnsi="宋体" w:cs="宋体"/>
                <w:i/>
                <w:iCs/>
                <w:color w:val="000000"/>
                <w:szCs w:val="21"/>
              </w:rPr>
            </w:pPr>
            <w:r>
              <w:rPr>
                <w:rStyle w:val="font61"/>
                <w:rFonts w:hint="default"/>
                <w:lang/>
              </w:rPr>
              <w:t>通过设备检验和</w:t>
            </w:r>
            <w:r>
              <w:rPr>
                <w:rStyle w:val="font191"/>
                <w:rFonts w:eastAsia="宋体"/>
                <w:lang/>
              </w:rPr>
              <w:t>/</w:t>
            </w:r>
            <w:r>
              <w:rPr>
                <w:rStyle w:val="font61"/>
                <w:rFonts w:hint="default"/>
                <w:lang/>
              </w:rPr>
              <w:t>或检查风险管理文件，是否符合要求。</w:t>
            </w:r>
          </w:p>
        </w:tc>
        <w:tc>
          <w:tcPr>
            <w:tcW w:w="1865" w:type="dxa"/>
            <w:tcBorders>
              <w:top w:val="nil"/>
              <w:left w:val="single" w:sz="8" w:space="0" w:color="000000"/>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single" w:sz="8" w:space="0" w:color="000000"/>
              <w:right w:val="single" w:sz="8" w:space="0" w:color="000000"/>
            </w:tcBorders>
            <w:shd w:val="clear" w:color="auto" w:fill="auto"/>
            <w:vAlign w:val="center"/>
          </w:tcPr>
          <w:p w:rsidR="00652E6F" w:rsidRDefault="00652E6F">
            <w:pPr>
              <w:rPr>
                <w:rFonts w:ascii="宋体" w:eastAsia="宋体" w:hAnsi="宋体" w:cs="宋体"/>
                <w:color w:val="000000"/>
                <w:sz w:val="22"/>
                <w:szCs w:val="22"/>
              </w:rPr>
            </w:pPr>
          </w:p>
        </w:tc>
      </w:tr>
      <w:tr w:rsidR="00652E6F">
        <w:trPr>
          <w:trHeight w:val="270"/>
        </w:trPr>
        <w:tc>
          <w:tcPr>
            <w:tcW w:w="1972" w:type="dxa"/>
            <w:tcBorders>
              <w:top w:val="nil"/>
              <w:left w:val="nil"/>
              <w:bottom w:val="nil"/>
              <w:right w:val="nil"/>
            </w:tcBorders>
            <w:shd w:val="clear" w:color="auto" w:fill="auto"/>
            <w:noWrap/>
            <w:vAlign w:val="center"/>
          </w:tcPr>
          <w:p w:rsidR="00652E6F" w:rsidRDefault="00652E6F">
            <w:pPr>
              <w:jc w:val="center"/>
              <w:rPr>
                <w:rFonts w:ascii="宋体" w:eastAsia="宋体" w:hAnsi="宋体" w:cs="宋体"/>
                <w:color w:val="000000"/>
                <w:sz w:val="22"/>
                <w:szCs w:val="22"/>
              </w:rPr>
            </w:pPr>
          </w:p>
        </w:tc>
        <w:tc>
          <w:tcPr>
            <w:tcW w:w="4928" w:type="dxa"/>
            <w:tcBorders>
              <w:top w:val="nil"/>
              <w:left w:val="nil"/>
              <w:bottom w:val="nil"/>
              <w:right w:val="nil"/>
            </w:tcBorders>
            <w:shd w:val="clear" w:color="auto" w:fill="auto"/>
            <w:vAlign w:val="center"/>
          </w:tcPr>
          <w:p w:rsidR="00652E6F" w:rsidRDefault="00652E6F">
            <w:pPr>
              <w:rPr>
                <w:rFonts w:ascii="宋体" w:eastAsia="宋体" w:hAnsi="宋体" w:cs="宋体"/>
                <w:color w:val="000000"/>
                <w:sz w:val="22"/>
                <w:szCs w:val="22"/>
              </w:rPr>
            </w:pPr>
          </w:p>
        </w:tc>
        <w:tc>
          <w:tcPr>
            <w:tcW w:w="1865" w:type="dxa"/>
            <w:tcBorders>
              <w:top w:val="nil"/>
              <w:left w:val="nil"/>
              <w:bottom w:val="nil"/>
              <w:right w:val="nil"/>
            </w:tcBorders>
            <w:shd w:val="clear" w:color="auto" w:fill="auto"/>
            <w:vAlign w:val="center"/>
          </w:tcPr>
          <w:p w:rsidR="00652E6F" w:rsidRDefault="00652E6F">
            <w:pPr>
              <w:rPr>
                <w:rFonts w:ascii="宋体" w:eastAsia="宋体" w:hAnsi="宋体" w:cs="宋体"/>
                <w:color w:val="000000"/>
                <w:sz w:val="22"/>
                <w:szCs w:val="22"/>
              </w:rPr>
            </w:pPr>
          </w:p>
        </w:tc>
        <w:tc>
          <w:tcPr>
            <w:tcW w:w="1630" w:type="dxa"/>
            <w:tcBorders>
              <w:top w:val="nil"/>
              <w:left w:val="nil"/>
              <w:bottom w:val="nil"/>
              <w:right w:val="nil"/>
            </w:tcBorders>
            <w:shd w:val="clear" w:color="auto" w:fill="auto"/>
            <w:vAlign w:val="center"/>
          </w:tcPr>
          <w:p w:rsidR="00652E6F" w:rsidRDefault="00652E6F">
            <w:pPr>
              <w:rPr>
                <w:rFonts w:ascii="宋体" w:eastAsia="宋体" w:hAnsi="宋体" w:cs="宋体"/>
                <w:color w:val="000000"/>
                <w:sz w:val="22"/>
                <w:szCs w:val="22"/>
              </w:rPr>
            </w:pPr>
          </w:p>
        </w:tc>
      </w:tr>
    </w:tbl>
    <w:p w:rsidR="00652E6F" w:rsidRDefault="00652E6F"/>
    <w:sectPr w:rsidR="00652E6F" w:rsidSect="00652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CBB" w:rsidRDefault="00DB2CBB" w:rsidP="00034A7A">
      <w:r>
        <w:separator/>
      </w:r>
    </w:p>
  </w:endnote>
  <w:endnote w:type="continuationSeparator" w:id="1">
    <w:p w:rsidR="00DB2CBB" w:rsidRDefault="00DB2CBB" w:rsidP="00034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CBB" w:rsidRDefault="00DB2CBB" w:rsidP="00034A7A">
      <w:r>
        <w:separator/>
      </w:r>
    </w:p>
  </w:footnote>
  <w:footnote w:type="continuationSeparator" w:id="1">
    <w:p w:rsidR="00DB2CBB" w:rsidRDefault="00DB2CBB" w:rsidP="00034A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E0NmU2MDM0YTIyNDc0NjU0NmY3ZWFlNDZiNjU5ZmQifQ=="/>
  </w:docVars>
  <w:rsids>
    <w:rsidRoot w:val="2ADC17B1"/>
    <w:rsid w:val="00034A7A"/>
    <w:rsid w:val="00652E6F"/>
    <w:rsid w:val="00DB2CBB"/>
    <w:rsid w:val="055735E6"/>
    <w:rsid w:val="18E904D3"/>
    <w:rsid w:val="2ADC17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E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41">
    <w:name w:val="font141"/>
    <w:basedOn w:val="a0"/>
    <w:rsid w:val="00652E6F"/>
    <w:rPr>
      <w:rFonts w:ascii="宋体" w:eastAsia="宋体" w:hAnsi="宋体" w:cs="宋体" w:hint="eastAsia"/>
      <w:color w:val="000000"/>
      <w:sz w:val="24"/>
      <w:szCs w:val="24"/>
      <w:u w:val="single"/>
    </w:rPr>
  </w:style>
  <w:style w:type="character" w:customStyle="1" w:styleId="font21">
    <w:name w:val="font21"/>
    <w:basedOn w:val="a0"/>
    <w:rsid w:val="00652E6F"/>
    <w:rPr>
      <w:rFonts w:ascii="宋体" w:eastAsia="宋体" w:hAnsi="宋体" w:cs="宋体" w:hint="eastAsia"/>
      <w:color w:val="000000"/>
      <w:sz w:val="24"/>
      <w:szCs w:val="24"/>
      <w:u w:val="none"/>
    </w:rPr>
  </w:style>
  <w:style w:type="character" w:customStyle="1" w:styleId="font51">
    <w:name w:val="font51"/>
    <w:basedOn w:val="a0"/>
    <w:rsid w:val="00652E6F"/>
    <w:rPr>
      <w:rFonts w:ascii="宋体" w:eastAsia="宋体" w:hAnsi="宋体" w:cs="宋体" w:hint="eastAsia"/>
      <w:color w:val="000000"/>
      <w:sz w:val="21"/>
      <w:szCs w:val="21"/>
      <w:u w:val="none"/>
    </w:rPr>
  </w:style>
  <w:style w:type="character" w:customStyle="1" w:styleId="font112">
    <w:name w:val="font112"/>
    <w:basedOn w:val="a0"/>
    <w:rsid w:val="00652E6F"/>
    <w:rPr>
      <w:rFonts w:ascii="Times New Roman" w:hAnsi="Times New Roman" w:cs="Times New Roman" w:hint="default"/>
      <w:color w:val="000000"/>
      <w:sz w:val="21"/>
      <w:szCs w:val="21"/>
      <w:u w:val="none"/>
    </w:rPr>
  </w:style>
  <w:style w:type="character" w:customStyle="1" w:styleId="font31">
    <w:name w:val="font31"/>
    <w:basedOn w:val="a0"/>
    <w:rsid w:val="00652E6F"/>
    <w:rPr>
      <w:rFonts w:ascii="黑体" w:eastAsia="黑体" w:hAnsi="宋体" w:cs="黑体" w:hint="eastAsia"/>
      <w:color w:val="000000"/>
      <w:sz w:val="21"/>
      <w:szCs w:val="21"/>
      <w:u w:val="none"/>
    </w:rPr>
  </w:style>
  <w:style w:type="character" w:customStyle="1" w:styleId="font151">
    <w:name w:val="font151"/>
    <w:basedOn w:val="a0"/>
    <w:rsid w:val="00652E6F"/>
    <w:rPr>
      <w:rFonts w:ascii="宋体" w:eastAsia="宋体" w:hAnsi="宋体" w:cs="宋体" w:hint="eastAsia"/>
      <w:b/>
      <w:bCs/>
      <w:color w:val="000000"/>
      <w:sz w:val="21"/>
      <w:szCs w:val="21"/>
      <w:u w:val="none"/>
    </w:rPr>
  </w:style>
  <w:style w:type="character" w:customStyle="1" w:styleId="font71">
    <w:name w:val="font71"/>
    <w:basedOn w:val="a0"/>
    <w:rsid w:val="00652E6F"/>
    <w:rPr>
      <w:rFonts w:ascii="黑体" w:eastAsia="黑体" w:hAnsi="宋体" w:cs="黑体" w:hint="eastAsia"/>
      <w:color w:val="000000"/>
      <w:sz w:val="18"/>
      <w:szCs w:val="18"/>
      <w:u w:val="none"/>
    </w:rPr>
  </w:style>
  <w:style w:type="character" w:customStyle="1" w:styleId="font121">
    <w:name w:val="font121"/>
    <w:basedOn w:val="a0"/>
    <w:rsid w:val="00652E6F"/>
    <w:rPr>
      <w:rFonts w:ascii="宋体" w:eastAsia="宋体" w:hAnsi="宋体" w:cs="宋体" w:hint="eastAsia"/>
      <w:color w:val="000000"/>
      <w:sz w:val="18"/>
      <w:szCs w:val="18"/>
      <w:u w:val="none"/>
    </w:rPr>
  </w:style>
  <w:style w:type="character" w:customStyle="1" w:styleId="font171">
    <w:name w:val="font171"/>
    <w:basedOn w:val="a0"/>
    <w:rsid w:val="00652E6F"/>
    <w:rPr>
      <w:rFonts w:ascii="Times New Roman" w:hAnsi="Times New Roman" w:cs="Times New Roman" w:hint="default"/>
      <w:color w:val="000000"/>
      <w:sz w:val="18"/>
      <w:szCs w:val="18"/>
      <w:u w:val="none"/>
    </w:rPr>
  </w:style>
  <w:style w:type="character" w:customStyle="1" w:styleId="font91">
    <w:name w:val="font91"/>
    <w:basedOn w:val="a0"/>
    <w:rsid w:val="00652E6F"/>
    <w:rPr>
      <w:rFonts w:ascii="宋体" w:eastAsia="宋体" w:hAnsi="宋体" w:cs="宋体" w:hint="eastAsia"/>
      <w:color w:val="000000"/>
      <w:sz w:val="15"/>
      <w:szCs w:val="15"/>
      <w:u w:val="none"/>
    </w:rPr>
  </w:style>
  <w:style w:type="character" w:customStyle="1" w:styleId="font181">
    <w:name w:val="font181"/>
    <w:basedOn w:val="a0"/>
    <w:rsid w:val="00652E6F"/>
    <w:rPr>
      <w:rFonts w:ascii="Times New Roman" w:hAnsi="Times New Roman" w:cs="Times New Roman" w:hint="default"/>
      <w:color w:val="000000"/>
      <w:sz w:val="15"/>
      <w:szCs w:val="15"/>
      <w:u w:val="none"/>
    </w:rPr>
  </w:style>
  <w:style w:type="character" w:customStyle="1" w:styleId="font81">
    <w:name w:val="font81"/>
    <w:basedOn w:val="a0"/>
    <w:rsid w:val="00652E6F"/>
    <w:rPr>
      <w:rFonts w:ascii="黑体" w:eastAsia="黑体" w:hAnsi="宋体" w:cs="黑体" w:hint="eastAsia"/>
      <w:b/>
      <w:bCs/>
      <w:color w:val="000000"/>
      <w:sz w:val="21"/>
      <w:szCs w:val="21"/>
      <w:u w:val="none"/>
    </w:rPr>
  </w:style>
  <w:style w:type="character" w:customStyle="1" w:styleId="font161">
    <w:name w:val="font161"/>
    <w:basedOn w:val="a0"/>
    <w:rsid w:val="00652E6F"/>
    <w:rPr>
      <w:rFonts w:ascii="Times New Roman" w:hAnsi="Times New Roman" w:cs="Times New Roman" w:hint="default"/>
      <w:b/>
      <w:bCs/>
      <w:color w:val="000000"/>
      <w:sz w:val="21"/>
      <w:szCs w:val="21"/>
      <w:u w:val="none"/>
    </w:rPr>
  </w:style>
  <w:style w:type="character" w:customStyle="1" w:styleId="font61">
    <w:name w:val="font61"/>
    <w:basedOn w:val="a0"/>
    <w:rsid w:val="00652E6F"/>
    <w:rPr>
      <w:rFonts w:ascii="宋体" w:eastAsia="宋体" w:hAnsi="宋体" w:cs="宋体" w:hint="eastAsia"/>
      <w:i/>
      <w:iCs/>
      <w:color w:val="000000"/>
      <w:sz w:val="21"/>
      <w:szCs w:val="21"/>
      <w:u w:val="none"/>
    </w:rPr>
  </w:style>
  <w:style w:type="character" w:customStyle="1" w:styleId="font191">
    <w:name w:val="font191"/>
    <w:basedOn w:val="a0"/>
    <w:rsid w:val="00652E6F"/>
    <w:rPr>
      <w:rFonts w:ascii="Times New Roman" w:hAnsi="Times New Roman" w:cs="Times New Roman" w:hint="default"/>
      <w:i/>
      <w:iCs/>
      <w:color w:val="000000"/>
      <w:sz w:val="21"/>
      <w:szCs w:val="21"/>
      <w:u w:val="none"/>
    </w:rPr>
  </w:style>
  <w:style w:type="paragraph" w:styleId="a3">
    <w:name w:val="header"/>
    <w:basedOn w:val="a"/>
    <w:link w:val="Char"/>
    <w:rsid w:val="00034A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4A7A"/>
    <w:rPr>
      <w:rFonts w:asciiTheme="minorHAnsi" w:eastAsiaTheme="minorEastAsia" w:hAnsiTheme="minorHAnsi" w:cstheme="minorBidi"/>
      <w:kern w:val="2"/>
      <w:sz w:val="18"/>
      <w:szCs w:val="18"/>
    </w:rPr>
  </w:style>
  <w:style w:type="paragraph" w:styleId="a4">
    <w:name w:val="footer"/>
    <w:basedOn w:val="a"/>
    <w:link w:val="Char0"/>
    <w:rsid w:val="00034A7A"/>
    <w:pPr>
      <w:tabs>
        <w:tab w:val="center" w:pos="4153"/>
        <w:tab w:val="right" w:pos="8306"/>
      </w:tabs>
      <w:snapToGrid w:val="0"/>
      <w:jc w:val="left"/>
    </w:pPr>
    <w:rPr>
      <w:sz w:val="18"/>
      <w:szCs w:val="18"/>
    </w:rPr>
  </w:style>
  <w:style w:type="character" w:customStyle="1" w:styleId="Char0">
    <w:name w:val="页脚 Char"/>
    <w:basedOn w:val="a0"/>
    <w:link w:val="a4"/>
    <w:rsid w:val="00034A7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602</Words>
  <Characters>3435</Characters>
  <Application>Microsoft Office Word</Application>
  <DocSecurity>0</DocSecurity>
  <Lines>28</Lines>
  <Paragraphs>8</Paragraphs>
  <ScaleCrop>false</ScaleCrop>
  <Company>HP Inc.</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粽子</dc:creator>
  <cp:lastModifiedBy>HP</cp:lastModifiedBy>
  <cp:revision>2</cp:revision>
  <dcterms:created xsi:type="dcterms:W3CDTF">2023-11-29T08:05:00Z</dcterms:created>
  <dcterms:modified xsi:type="dcterms:W3CDTF">2023-11-29T08:05:00Z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43618D999274427F8F9C2AA541F95EF5</vt:lpwstr>
  </property>
</Properties>
</file>