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395"/>
        <w:gridCol w:w="1080"/>
        <w:gridCol w:w="4155"/>
        <w:gridCol w:w="184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jc w:val="center"/>
        </w:trPr>
        <w:tc>
          <w:tcPr>
            <w:tcW w:w="10485" w:type="dxa"/>
            <w:gridSpan w:val="5"/>
            <w:tcBorders>
              <w:top w:val="nil"/>
              <w:left w:val="nil"/>
              <w:bottom w:val="nil"/>
              <w:right w:val="nil"/>
            </w:tcBorders>
            <w:shd w:val="clear" w:color="auto" w:fill="FFFFFF" w:themeFill="background1"/>
            <w:vAlign w:val="center"/>
          </w:tcPr>
          <w:p>
            <w:pPr>
              <w:jc w:val="center"/>
              <w:rPr>
                <w:rFonts w:hint="eastAsia"/>
              </w:rPr>
            </w:pPr>
            <w:r>
              <w:rPr>
                <w:rFonts w:hint="eastAsia"/>
                <w:sz w:val="44"/>
                <w:szCs w:val="52"/>
                <w:lang w:val="en-US" w:eastAsia="zh-CN"/>
              </w:rPr>
              <w:t>说明书内容确认表（GB9706.218）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rPr>
            </w:pPr>
            <w:r>
              <w:rPr>
                <w:rFonts w:hint="eastAsia"/>
                <w:lang w:val="en-US" w:eastAsia="zh-CN"/>
              </w:rPr>
              <w:t>标准条款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rPr>
            </w:pPr>
            <w:r>
              <w:rPr>
                <w:rFonts w:hint="eastAsia"/>
                <w:lang w:val="en-US" w:eastAsia="zh-CN"/>
              </w:rPr>
              <w:t>检测项目</w:t>
            </w:r>
          </w:p>
        </w:tc>
        <w:tc>
          <w:tcPr>
            <w:tcW w:w="4155" w:type="dxa"/>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rPr>
            </w:pPr>
            <w:r>
              <w:rPr>
                <w:rFonts w:hint="eastAsia"/>
                <w:lang w:val="en-US" w:eastAsia="zh-CN"/>
              </w:rPr>
              <w:t>标准要求</w:t>
            </w:r>
          </w:p>
        </w:tc>
        <w:tc>
          <w:tcPr>
            <w:tcW w:w="1845" w:type="dxa"/>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rPr>
            </w:pPr>
            <w:r>
              <w:rPr>
                <w:rFonts w:hint="eastAsia"/>
                <w:lang w:val="en-US" w:eastAsia="zh-CN"/>
              </w:rPr>
              <w:t>说明书上的位置</w:t>
            </w:r>
          </w:p>
        </w:tc>
        <w:tc>
          <w:tcPr>
            <w:tcW w:w="2010" w:type="dxa"/>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rPr>
            </w:pPr>
            <w:r>
              <w:rPr>
                <w:rFonts w:hint="eastAsia"/>
                <w:lang w:val="en-US" w:eastAsia="zh-CN"/>
              </w:rPr>
              <w:t>不适用理由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72"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
              <w:rPr>
                <w:rFonts w:hint="eastAsia"/>
                <w:lang w:val="en-US" w:eastAsia="zh-CN"/>
              </w:rPr>
              <w:t>201.5.7</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 xml:space="preserve"> </w:t>
            </w:r>
            <w:r>
              <w:rPr>
                <w:lang w:val="en-US" w:eastAsia="zh-CN"/>
              </w:rPr>
              <w:t>*潮湿预处理</w:t>
            </w:r>
          </w:p>
        </w:tc>
        <w:tc>
          <w:tcPr>
            <w:tcW w:w="4155" w:type="dxa"/>
            <w:tcBorders>
              <w:top w:val="single" w:color="000000" w:sz="4" w:space="0"/>
              <w:left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按照预期用途或使用说明书要求使用在使用前提供灭菌和</w:t>
            </w:r>
            <w:r>
              <w:rPr>
                <w:lang w:val="en-US" w:eastAsia="zh-CN"/>
              </w:rPr>
              <w:t>/或消毒过程的带电内窥镜和带电内治疗器械，在相关测试前视情况，按照本条要求可以不进行潮湿预处理，但应替代通用标准的11.6.6和/或11.6.7。</w:t>
            </w:r>
          </w:p>
        </w:tc>
        <w:tc>
          <w:tcPr>
            <w:tcW w:w="1845"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6"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201.7.2.9</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 xml:space="preserve"> </w:t>
            </w:r>
            <w:r>
              <w:rPr>
                <w:lang w:val="en-US" w:eastAsia="zh-CN"/>
              </w:rPr>
              <w:t>*IP分类</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所提供的说明书中已说明可允许再处理方法和参数的带电内窥镜和内治疗器械不包含在本要求中。</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54" w:hRule="atLeast"/>
          <w:jc w:val="center"/>
        </w:trPr>
        <w:tc>
          <w:tcPr>
            <w:tcW w:w="1395"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 xml:space="preserve">201.7.2.101 </w:t>
            </w:r>
          </w:p>
        </w:tc>
        <w:tc>
          <w:tcPr>
            <w:tcW w:w="1080" w:type="dxa"/>
            <w:vMerge w:val="restart"/>
            <w:tcBorders>
              <w:top w:val="single" w:color="000000" w:sz="4" w:space="0"/>
              <w:left w:val="single" w:color="000000" w:sz="4" w:space="0"/>
              <w:right w:val="nil"/>
            </w:tcBorders>
            <w:shd w:val="clear" w:color="auto" w:fill="FFFFFF" w:themeFill="background1"/>
            <w:vAlign w:val="center"/>
          </w:tcPr>
          <w:p>
            <w:pPr>
              <w:rPr>
                <w:rFonts w:hint="eastAsia"/>
              </w:rPr>
            </w:pPr>
            <w:r>
              <w:rPr>
                <w:rFonts w:hint="eastAsia"/>
                <w:lang w:val="en-US" w:eastAsia="zh-CN"/>
              </w:rPr>
              <w:t>备用标识</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只要需要获得信息时就能看见标识，内窥镜设备输出装置（显示器）上使用者所需的信息应与考虑通用标准</w:t>
            </w:r>
            <w:r>
              <w:rPr>
                <w:lang w:val="en-US" w:eastAsia="zh-CN"/>
              </w:rPr>
              <w:t>7.2.3、7.2.5、7.2.11和7.2.13要求的在设备上的标识一致。</w:t>
            </w:r>
          </w:p>
          <w:p>
            <w:pPr>
              <w:rPr>
                <w:rFonts w:hint="eastAsia"/>
              </w:rPr>
            </w:pPr>
            <w:r>
              <w:rPr>
                <w:rFonts w:hint="eastAsia"/>
                <w:lang w:val="en-US" w:eastAsia="zh-CN"/>
              </w:rPr>
              <w:t>通过检查可用性工程过程的结果和</w:t>
            </w:r>
            <w:r>
              <w:rPr>
                <w:lang w:val="en-US" w:eastAsia="zh-CN"/>
              </w:rPr>
              <w:t>/或随机文件是否符合要求。</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jc w:val="center"/>
        </w:trPr>
        <w:tc>
          <w:tcPr>
            <w:tcW w:w="1395" w:type="dxa"/>
            <w:vMerge w:val="continue"/>
            <w:tcBorders>
              <w:left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安装在内窥镜头端部的可更换照明灯，至少应在随附文件中给出型号或型式参数。</w:t>
            </w:r>
          </w:p>
          <w:p>
            <w:pPr>
              <w:rPr>
                <w:rFonts w:hint="eastAsia"/>
              </w:rPr>
            </w:pPr>
            <w:r>
              <w:rPr>
                <w:rFonts w:hint="eastAsia"/>
                <w:lang w:val="en-US" w:eastAsia="zh-CN"/>
              </w:rPr>
              <w:t>仅由售后服务人员用工具才能更换照明灯泡，至少应在随附文件中给出型号或型式参数。</w:t>
            </w:r>
          </w:p>
        </w:tc>
        <w:tc>
          <w:tcPr>
            <w:tcW w:w="1845"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8"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201.7.6.2</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附录D中的符号</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制造商可选择使用符号表示内窥镜设备的功能，如果使用符号，要在使用说明书中解释。附录</w:t>
            </w:r>
            <w:r>
              <w:rPr>
                <w:lang w:val="en-US" w:eastAsia="zh-CN"/>
              </w:rPr>
              <w:t>D给出优先使用功能的符号。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9" w:hRule="atLeast"/>
          <w:jc w:val="center"/>
        </w:trPr>
        <w:tc>
          <w:tcPr>
            <w:tcW w:w="1395" w:type="dxa"/>
            <w:vMerge w:val="restart"/>
            <w:tcBorders>
              <w:top w:val="single" w:color="auto" w:sz="4" w:space="0"/>
              <w:left w:val="single" w:color="000000" w:sz="4" w:space="0"/>
              <w:right w:val="single" w:color="000000" w:sz="4" w:space="0"/>
            </w:tcBorders>
            <w:shd w:val="clear" w:color="auto" w:fill="FFFFFF" w:themeFill="background1"/>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201.7.9</w:t>
            </w:r>
            <w:r>
              <w:rPr>
                <w:lang w:val="en-US" w:eastAsia="zh-CN"/>
              </w:rPr>
              <w:t xml:space="preserve">  </w:t>
            </w:r>
          </w:p>
        </w:tc>
        <w:tc>
          <w:tcPr>
            <w:tcW w:w="1080" w:type="dxa"/>
            <w:vMerge w:val="restart"/>
            <w:tcBorders>
              <w:top w:val="single" w:color="auto" w:sz="4" w:space="0"/>
              <w:left w:val="single" w:color="000000" w:sz="4" w:space="0"/>
              <w:right w:val="nil"/>
            </w:tcBorders>
            <w:shd w:val="clear" w:color="auto" w:fill="FFFFFF" w:themeFill="background1"/>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随机文件</w:t>
            </w:r>
          </w:p>
        </w:tc>
        <w:tc>
          <w:tcPr>
            <w:tcW w:w="4155" w:type="dxa"/>
            <w:tcBorders>
              <w:top w:val="single" w:color="auto" w:sz="4" w:space="0"/>
              <w:left w:val="single" w:color="000000" w:sz="4" w:space="0"/>
              <w:bottom w:val="single" w:color="000000" w:sz="4" w:space="0"/>
              <w:right w:val="nil"/>
            </w:tcBorders>
            <w:shd w:val="clear" w:color="auto" w:fill="FFFFFF" w:themeFill="background1"/>
            <w:vAlign w:val="center"/>
          </w:tcPr>
          <w:p>
            <w:pPr>
              <w:rPr>
                <w:rFonts w:hint="eastAsia"/>
                <w:b/>
                <w:bCs/>
                <w:lang w:val="en-US" w:eastAsia="zh-CN"/>
              </w:rPr>
            </w:pPr>
            <w:r>
              <w:rPr>
                <w:rFonts w:hint="eastAsia"/>
                <w:b/>
                <w:bCs/>
                <w:lang w:val="en-US" w:eastAsia="zh-CN"/>
              </w:rPr>
              <w:t>涉及内窥镜设备的警示与安全提示：</w:t>
            </w:r>
          </w:p>
          <w:p>
            <w:pPr>
              <w:rPr>
                <w:rFonts w:hint="default"/>
              </w:rPr>
            </w:pPr>
            <w:r>
              <w:rPr>
                <w:rFonts w:hint="default"/>
                <w:lang w:val="en-US" w:eastAsia="zh-CN"/>
              </w:rPr>
              <w:t>a</w:t>
            </w:r>
            <w:r>
              <w:rPr>
                <w:lang w:val="en-US" w:eastAsia="zh-CN"/>
              </w:rPr>
              <w:t>）如果应用部分的表面温度可能会超过41℃，给出警告信息（并见201.11.1.2.2）。</w:t>
            </w:r>
          </w:p>
        </w:tc>
        <w:tc>
          <w:tcPr>
            <w:tcW w:w="184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35"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b</w:t>
            </w:r>
            <w:r>
              <w:rPr>
                <w:lang w:val="en-US" w:eastAsia="zh-CN"/>
              </w:rPr>
              <w:t>）如果内窥镜的光发射窗口可能会发射出高能辐射光，引起光发射窗口前的温度过高，需要警告信息，并给出风险最小的建议。</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5"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c</w:t>
            </w:r>
            <w:r>
              <w:rPr>
                <w:lang w:val="en-US" w:eastAsia="zh-CN"/>
              </w:rPr>
              <w:t>）如果内窥镜设备出现故障，防止不可接受风险的建议。</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5"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p>
        </w:tc>
        <w:tc>
          <w:tcPr>
            <w:tcW w:w="4155" w:type="dxa"/>
            <w:tcBorders>
              <w:top w:val="nil"/>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d</w:t>
            </w:r>
            <w:r>
              <w:rPr>
                <w:lang w:val="en-US" w:eastAsia="zh-CN"/>
              </w:rPr>
              <w:t>）更换照明灯时，防止可能会引起如烧伤和眼部伤害等危害情况的建议。</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65"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201.7.9</w:t>
            </w:r>
            <w:r>
              <w:rPr>
                <w:lang w:val="en-US" w:eastAsia="zh-CN"/>
              </w:rPr>
              <w:t xml:space="preserve">  </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随机文件</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e</w:t>
            </w:r>
            <w:r>
              <w:rPr>
                <w:lang w:val="en-US" w:eastAsia="zh-CN"/>
              </w:rPr>
              <w:t>）如果仅采用供给装置与光导束输出口间的绝缘，多重供给装置和/或光导束的带电内窥镜，给出其F型应用部分的状态警告信息。</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f）</w:t>
            </w:r>
            <w:r>
              <w:rPr>
                <w:lang w:val="en-US" w:eastAsia="zh-CN"/>
              </w:rPr>
              <w:t>给出每次使用前，应检查进入患者体内的带电内窥镜插入部外表面，确保没有会造成伤害的粗糙表面、尖锐边缘或突出物的说明。</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8" w:hRule="atLeast"/>
          <w:jc w:val="center"/>
        </w:trPr>
        <w:tc>
          <w:tcPr>
            <w:tcW w:w="1395"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rPr>
                <w:rFonts w:hint="eastAsia"/>
              </w:rPr>
            </w:pPr>
          </w:p>
        </w:tc>
        <w:tc>
          <w:tcPr>
            <w:tcW w:w="1080" w:type="dxa"/>
            <w:vMerge w:val="continue"/>
            <w:tcBorders>
              <w:top w:val="single" w:color="000000" w:sz="4" w:space="0"/>
              <w:left w:val="single" w:color="000000" w:sz="4" w:space="0"/>
              <w:bottom w:val="single" w:color="auto"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auto" w:sz="4" w:space="0"/>
              <w:right w:val="nil"/>
            </w:tcBorders>
            <w:shd w:val="clear" w:color="auto" w:fill="FFFFFF" w:themeFill="background1"/>
            <w:vAlign w:val="center"/>
          </w:tcPr>
          <w:p>
            <w:pPr>
              <w:rPr>
                <w:rFonts w:hint="default"/>
              </w:rPr>
            </w:pPr>
            <w:r>
              <w:rPr>
                <w:rFonts w:hint="default"/>
                <w:lang w:val="en-US" w:eastAsia="zh-CN"/>
              </w:rPr>
              <w:t>g</w:t>
            </w:r>
            <w:r>
              <w:rPr>
                <w:lang w:val="en-US" w:eastAsia="zh-CN"/>
              </w:rPr>
              <w:t>）给出每次使用前，或改变观察模式/设置后，操作员应检查以确保通过内窥镜观察到的图像是实时（而不是存储的图像）和具有正确图像朝向的说明。</w:t>
            </w:r>
          </w:p>
        </w:tc>
        <w:tc>
          <w:tcPr>
            <w:tcW w:w="184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2" w:hRule="atLeast"/>
          <w:jc w:val="center"/>
        </w:trPr>
        <w:tc>
          <w:tcPr>
            <w:tcW w:w="1395" w:type="dxa"/>
            <w:vMerge w:val="restart"/>
            <w:tcBorders>
              <w:top w:val="single" w:color="auto" w:sz="4" w:space="0"/>
              <w:left w:val="single" w:color="000000" w:sz="4" w:space="0"/>
              <w:right w:val="single" w:color="000000" w:sz="4" w:space="0"/>
            </w:tcBorders>
            <w:shd w:val="clear" w:color="auto" w:fill="FFFFFF" w:themeFill="background1"/>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201.7.9</w:t>
            </w:r>
            <w:r>
              <w:rPr>
                <w:lang w:val="en-US" w:eastAsia="zh-CN"/>
              </w:rPr>
              <w:t xml:space="preserve">  </w:t>
            </w:r>
          </w:p>
        </w:tc>
        <w:tc>
          <w:tcPr>
            <w:tcW w:w="1080" w:type="dxa"/>
            <w:vMerge w:val="restart"/>
            <w:tcBorders>
              <w:top w:val="single" w:color="auto" w:sz="4" w:space="0"/>
              <w:left w:val="single" w:color="000000" w:sz="4" w:space="0"/>
              <w:right w:val="nil"/>
            </w:tcBorders>
            <w:shd w:val="clear" w:color="auto" w:fill="FFFFFF" w:themeFill="background1"/>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随机文件</w:t>
            </w:r>
          </w:p>
        </w:tc>
        <w:tc>
          <w:tcPr>
            <w:tcW w:w="4155" w:type="dxa"/>
            <w:tcBorders>
              <w:top w:val="single" w:color="auto" w:sz="4" w:space="0"/>
              <w:left w:val="single" w:color="000000" w:sz="4" w:space="0"/>
              <w:bottom w:val="single" w:color="000000" w:sz="4" w:space="0"/>
              <w:right w:val="nil"/>
            </w:tcBorders>
            <w:shd w:val="clear" w:color="auto" w:fill="FFFFFF" w:themeFill="background1"/>
            <w:vAlign w:val="center"/>
          </w:tcPr>
          <w:p>
            <w:pPr>
              <w:rPr>
                <w:rFonts w:hint="eastAsia"/>
                <w:b/>
                <w:bCs/>
                <w:lang w:val="en-US" w:eastAsia="zh-CN"/>
              </w:rPr>
            </w:pPr>
            <w:r>
              <w:rPr>
                <w:rFonts w:hint="eastAsia"/>
                <w:b/>
                <w:bCs/>
                <w:lang w:val="en-US" w:eastAsia="zh-CN"/>
              </w:rPr>
              <w:t>涉及互连条件的警告和安全提示：</w:t>
            </w:r>
          </w:p>
          <w:p>
            <w:pPr>
              <w:rPr>
                <w:rFonts w:hint="default"/>
              </w:rPr>
            </w:pPr>
            <w:r>
              <w:rPr>
                <w:rFonts w:hint="default"/>
                <w:lang w:val="en-US" w:eastAsia="zh-CN"/>
              </w:rPr>
              <w:t>h</w:t>
            </w:r>
            <w:r>
              <w:rPr>
                <w:lang w:val="en-US" w:eastAsia="zh-CN"/>
              </w:rPr>
              <w:t>）内窥镜应用配置中使用了BF型应用部分或CF型应用部分的其他ME设备，给出其应用部分互连条件的警告信息。</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0" w:hRule="atLeast"/>
          <w:jc w:val="center"/>
        </w:trPr>
        <w:tc>
          <w:tcPr>
            <w:tcW w:w="1395" w:type="dxa"/>
            <w:vMerge w:val="continue"/>
            <w:tcBorders>
              <w:left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right w:val="nil"/>
            </w:tcBorders>
            <w:shd w:val="clear" w:color="auto" w:fill="FFFFFF" w:themeFill="background1"/>
            <w:vAlign w:val="center"/>
          </w:tcPr>
          <w:p>
            <w:pPr>
              <w:rPr>
                <w:rFonts w:hint="eastAsia"/>
              </w:rPr>
            </w:pPr>
          </w:p>
        </w:tc>
        <w:tc>
          <w:tcPr>
            <w:tcW w:w="4155" w:type="dxa"/>
            <w:tcBorders>
              <w:top w:val="nil"/>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i</w:t>
            </w:r>
            <w:r>
              <w:rPr>
                <w:lang w:val="en-US" w:eastAsia="zh-CN"/>
              </w:rPr>
              <w:t>）给出例如过量气体喷注、高频手术前惰性气体或激光辅助气体导致气体栓塞的风险结果。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75" w:hRule="atLeast"/>
          <w:jc w:val="center"/>
        </w:trPr>
        <w:tc>
          <w:tcPr>
            <w:tcW w:w="1395" w:type="dxa"/>
            <w:vMerge w:val="continue"/>
            <w:tcBorders>
              <w:left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j</w:t>
            </w:r>
            <w:r>
              <w:rPr>
                <w:lang w:val="en-US" w:eastAsia="zh-CN"/>
              </w:rPr>
              <w:t>）给出当带电内窥镜和带电内治疗器械一起使用时，可能会增加患者身上漏电流的警示信息。需要特别注意的是，如果使用CF型应用部分的内窥镜，此情况下应使用CF型应用部分的带电内治疗器械，保证患者身上的总漏电流最小化。</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5" w:hRule="atLeast"/>
          <w:jc w:val="center"/>
        </w:trPr>
        <w:tc>
          <w:tcPr>
            <w:tcW w:w="1395" w:type="dxa"/>
            <w:vMerge w:val="continue"/>
            <w:tcBorders>
              <w:left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k</w:t>
            </w:r>
            <w:r>
              <w:rPr>
                <w:lang w:val="en-US" w:eastAsia="zh-CN"/>
              </w:rPr>
              <w:t>）给出使用高频带电内治疗器械区域，倘若爆炸性气体浓度危险避免的说明。</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90" w:hRule="atLeast"/>
          <w:jc w:val="center"/>
        </w:trPr>
        <w:tc>
          <w:tcPr>
            <w:tcW w:w="1395" w:type="dxa"/>
            <w:vMerge w:val="continue"/>
            <w:tcBorders>
              <w:left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l</w:t>
            </w:r>
            <w:r>
              <w:rPr>
                <w:lang w:val="en-US" w:eastAsia="zh-CN"/>
              </w:rPr>
              <w:t>）如果带电内窥镜和/或带电内治疗器械与激光设备一起使用，给出安全使用建议，包括避免对操作员潜在的眼伤害，如通过配戴合适的防滤光眼镜，或在带电内窥镜的目镜上配上合适的滤光片。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50" w:hRule="atLeast"/>
          <w:jc w:val="center"/>
        </w:trPr>
        <w:tc>
          <w:tcPr>
            <w:tcW w:w="1395" w:type="dxa"/>
            <w:vMerge w:val="continue"/>
            <w:tcBorders>
              <w:left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default"/>
              </w:rPr>
            </w:pPr>
            <w:r>
              <w:rPr>
                <w:rFonts w:hint="default"/>
                <w:lang w:val="en-US" w:eastAsia="zh-CN"/>
              </w:rPr>
              <w:t>m</w:t>
            </w:r>
            <w:r>
              <w:rPr>
                <w:lang w:val="en-US" w:eastAsia="zh-CN"/>
              </w:rPr>
              <w:t>）给出设备使用前，按照使用说明中限定的安全使用准则，对使用了附件和/或带电内治疗器械的内窥镜设备进行兼容性检查的说明。</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6" w:hRule="atLeast"/>
          <w:jc w:val="center"/>
        </w:trPr>
        <w:tc>
          <w:tcPr>
            <w:tcW w:w="1395" w:type="dxa"/>
            <w:vMerge w:val="continue"/>
            <w:tcBorders>
              <w:left w:val="single" w:color="000000" w:sz="4" w:space="0"/>
              <w:bottom w:val="single" w:color="auto" w:sz="4" w:space="0"/>
              <w:right w:val="single" w:color="000000" w:sz="4" w:space="0"/>
            </w:tcBorders>
            <w:shd w:val="clear" w:color="auto" w:fill="FFFFFF" w:themeFill="background1"/>
            <w:vAlign w:val="center"/>
          </w:tcPr>
          <w:p>
            <w:pPr>
              <w:rPr>
                <w:rFonts w:hint="eastAsia"/>
              </w:rPr>
            </w:pPr>
          </w:p>
        </w:tc>
        <w:tc>
          <w:tcPr>
            <w:tcW w:w="1080" w:type="dxa"/>
            <w:vMerge w:val="continue"/>
            <w:tcBorders>
              <w:left w:val="single" w:color="000000" w:sz="4" w:space="0"/>
              <w:bottom w:val="single" w:color="auto"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auto" w:sz="4" w:space="0"/>
              <w:right w:val="nil"/>
            </w:tcBorders>
            <w:shd w:val="clear" w:color="auto" w:fill="FFFFFF" w:themeFill="background1"/>
            <w:vAlign w:val="center"/>
          </w:tcPr>
          <w:p>
            <w:pPr>
              <w:rPr>
                <w:rFonts w:hint="eastAsia"/>
              </w:rPr>
            </w:pPr>
            <w:r>
              <w:rPr>
                <w:rFonts w:hint="eastAsia"/>
                <w:lang w:val="en-US" w:eastAsia="zh-CN"/>
              </w:rPr>
              <w:t>n）</w:t>
            </w:r>
            <w:r>
              <w:rPr>
                <w:lang w:val="en-US" w:eastAsia="zh-CN"/>
              </w:rPr>
              <w:t>给出每次使用前，应检查进入患者体内的带电内治疗器械外表面，确保没有会造成伤害的粗糙表面、尖锐边缘或突出物的说明。</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09" w:hRule="atLeast"/>
          <w:jc w:val="center"/>
        </w:trPr>
        <w:tc>
          <w:tcPr>
            <w:tcW w:w="1395" w:type="dxa"/>
            <w:vMerge w:val="restart"/>
            <w:tcBorders>
              <w:top w:val="single" w:color="auto" w:sz="4" w:space="0"/>
              <w:left w:val="single" w:color="000000" w:sz="4" w:space="0"/>
              <w:right w:val="single" w:color="000000" w:sz="4" w:space="0"/>
            </w:tcBorders>
            <w:shd w:val="clear" w:color="auto" w:fill="FFFFFF" w:themeFill="background1"/>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201.7.9</w:t>
            </w:r>
            <w:r>
              <w:rPr>
                <w:lang w:val="en-US" w:eastAsia="zh-CN"/>
              </w:rPr>
              <w:t xml:space="preserve">  </w:t>
            </w:r>
          </w:p>
        </w:tc>
        <w:tc>
          <w:tcPr>
            <w:tcW w:w="1080" w:type="dxa"/>
            <w:vMerge w:val="restart"/>
            <w:tcBorders>
              <w:top w:val="single" w:color="auto" w:sz="4" w:space="0"/>
              <w:left w:val="single" w:color="000000" w:sz="4" w:space="0"/>
              <w:right w:val="nil"/>
            </w:tcBorders>
            <w:shd w:val="clear" w:color="auto" w:fill="FFFFFF" w:themeFill="background1"/>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随机文件</w:t>
            </w:r>
          </w:p>
        </w:tc>
        <w:tc>
          <w:tcPr>
            <w:tcW w:w="4155" w:type="dxa"/>
            <w:tcBorders>
              <w:top w:val="single" w:color="auto" w:sz="4" w:space="0"/>
              <w:left w:val="single" w:color="000000" w:sz="4" w:space="0"/>
              <w:bottom w:val="single" w:color="000000" w:sz="4" w:space="0"/>
              <w:right w:val="nil"/>
            </w:tcBorders>
            <w:shd w:val="clear" w:color="auto" w:fill="FFFFFF" w:themeFill="background1"/>
            <w:vAlign w:val="center"/>
          </w:tcPr>
          <w:p>
            <w:pPr>
              <w:rPr>
                <w:rFonts w:hint="eastAsia"/>
                <w:b/>
                <w:bCs/>
                <w:lang w:val="en-US" w:eastAsia="zh-CN"/>
              </w:rPr>
            </w:pPr>
            <w:r>
              <w:rPr>
                <w:rFonts w:hint="eastAsia"/>
                <w:b/>
                <w:bCs/>
                <w:lang w:val="en-US" w:eastAsia="zh-CN"/>
              </w:rPr>
              <w:t>涉及接口条件相关的警告和安全提示：</w:t>
            </w:r>
          </w:p>
          <w:p>
            <w:pPr>
              <w:rPr>
                <w:rFonts w:hint="default"/>
              </w:rPr>
            </w:pPr>
            <w:r>
              <w:rPr>
                <w:rFonts w:hint="default"/>
                <w:lang w:val="en-US" w:eastAsia="zh-CN"/>
              </w:rPr>
              <w:t>o</w:t>
            </w:r>
            <w:r>
              <w:rPr>
                <w:lang w:val="en-US" w:eastAsia="zh-CN"/>
              </w:rPr>
              <w:t>）当内窥镜设备在内窥镜应用配置范围内，和附件、其他ME设备和/或非ME设备一起使用时，给出避免因为同时使用而造成风险建议（见通用标准16.2和201.15.4.1）。</w:t>
            </w:r>
          </w:p>
          <w:p>
            <w:pPr>
              <w:rPr>
                <w:rFonts w:hint="eastAsia"/>
              </w:rPr>
            </w:pPr>
            <w:r>
              <w:rPr>
                <w:rFonts w:hint="eastAsia"/>
                <w:lang w:val="en-US" w:eastAsia="zh-CN"/>
              </w:rPr>
              <w:t>查看使用说明，检查是否符合要求。</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2"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201.7.9.2.14</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 xml:space="preserve"> </w:t>
            </w:r>
            <w:r>
              <w:rPr>
                <w:lang w:val="en-US" w:eastAsia="zh-CN"/>
              </w:rPr>
              <w:t>附件、辅助设备和材料</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当带电内治疗器械与高频手术设备一起使用时，使用说明书中给出涉及这与</w:t>
            </w:r>
            <w:r>
              <w:rPr>
                <w:lang w:val="en-US" w:eastAsia="zh-CN"/>
              </w:rPr>
              <w:t>GB 9706.202 的相关要求的安全使用建议。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934"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201.9.</w:t>
            </w:r>
            <w:r>
              <w:rPr>
                <w:lang w:val="en-US" w:eastAsia="zh-CN"/>
              </w:rPr>
              <w:t xml:space="preserve">4.2.4.3 </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*越过门槛的运动</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内窥镜应用配置内使用可移动的</w:t>
            </w:r>
            <w:r>
              <w:rPr>
                <w:lang w:val="en-US" w:eastAsia="zh-CN"/>
              </w:rPr>
              <w:t>ME系统组合的工作站，总质量超过45kg应能越过15mm的门槛高度，而不会产生不可接受的风险。</w:t>
            </w:r>
          </w:p>
          <w:p>
            <w:pPr>
              <w:rPr>
                <w:rFonts w:hint="eastAsia"/>
              </w:rPr>
            </w:pPr>
            <w:r>
              <w:rPr>
                <w:rFonts w:hint="eastAsia"/>
                <w:lang w:val="en-US" w:eastAsia="zh-CN"/>
              </w:rPr>
              <w:t>通过以下测试，检查是否满足要求：</w:t>
            </w:r>
          </w:p>
          <w:p>
            <w:pPr>
              <w:rPr>
                <w:rFonts w:hint="eastAsia"/>
              </w:rPr>
            </w:pPr>
            <w:r>
              <w:rPr>
                <w:rFonts w:hint="eastAsia"/>
                <w:lang w:val="en-US" w:eastAsia="zh-CN"/>
              </w:rPr>
              <w:t>在运输点配置好移动</w:t>
            </w:r>
            <w:r>
              <w:rPr>
                <w:lang w:val="en-US" w:eastAsia="zh-CN"/>
              </w:rPr>
              <w:t>ME系统，按照随附文件指定的位置加上安全工作荷载。按照随附文件指南和建议移动ME系统，或如果没有给出指南，则按一般使用说明书的规定，向前越过（上下）固体垂直平面障碍物10次，障碍物是水平安装在地板上，高15mm，宽至少20mm的矩形截面。障碍物上角半径最大为2mm。对于用手推的移动ME系统，轮子和脚轮以0.3 m/s ± 0.1 m/s速度，或对于电动的ME系统，以最大速度推向障碍物。</w:t>
            </w:r>
          </w:p>
          <w:p>
            <w:pPr>
              <w:rPr>
                <w:rFonts w:hint="eastAsia"/>
              </w:rPr>
            </w:pPr>
            <w:r>
              <w:rPr>
                <w:rFonts w:hint="eastAsia"/>
                <w:lang w:val="en-US" w:eastAsia="zh-CN"/>
              </w:rPr>
              <w:t>移动</w:t>
            </w:r>
            <w:r>
              <w:rPr>
                <w:lang w:val="en-US" w:eastAsia="zh-CN"/>
              </w:rPr>
              <w:t>ME系统无法越过障碍物（如轮子半径较小）是不可接受的。失衡或者任何不可接受的风险都属于试验失败。</w:t>
            </w:r>
          </w:p>
          <w:p>
            <w:pPr>
              <w:rPr>
                <w:rFonts w:hint="eastAsia"/>
              </w:rPr>
            </w:pPr>
            <w:r>
              <w:rPr>
                <w:rFonts w:hint="eastAsia"/>
                <w:lang w:val="en-US" w:eastAsia="zh-CN"/>
              </w:rPr>
              <w:t>通过检查移动</w:t>
            </w:r>
            <w:r>
              <w:rPr>
                <w:lang w:val="en-US" w:eastAsia="zh-CN"/>
              </w:rPr>
              <w:t>ME系统、部件以及风险管理文件确定不可接受的风险。</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201.1</w:t>
            </w:r>
            <w:r>
              <w:rPr>
                <w:lang w:val="en-US" w:eastAsia="zh-CN"/>
              </w:rPr>
              <w:t xml:space="preserve">1.1.2.2 </w:t>
            </w:r>
          </w:p>
        </w:tc>
        <w:tc>
          <w:tcPr>
            <w:tcW w:w="1080"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*不用于向患者提供热量的应用部分</w:t>
            </w:r>
          </w:p>
        </w:tc>
        <w:tc>
          <w:tcPr>
            <w:tcW w:w="4155" w:type="dxa"/>
            <w:tcBorders>
              <w:top w:val="single" w:color="000000" w:sz="4" w:space="0"/>
              <w:left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以下情况下，不需要在使用说明书中提及最高温度：</w:t>
            </w:r>
          </w:p>
          <w:p>
            <w:pPr>
              <w:rPr>
                <w:rFonts w:hint="eastAsia"/>
              </w:rPr>
            </w:pPr>
            <w:r>
              <w:rPr>
                <w:rFonts w:hint="eastAsia"/>
                <w:lang w:val="en-US" w:eastAsia="zh-CN"/>
              </w:rPr>
              <w:t>——因与带电内治疗器械一起使用，内窥镜的插入部分表面温度超过</w:t>
            </w:r>
            <w:r>
              <w:rPr>
                <w:lang w:val="en-US" w:eastAsia="zh-CN"/>
              </w:rPr>
              <w:t>41℃；</w:t>
            </w:r>
          </w:p>
          <w:p>
            <w:pPr>
              <w:rPr>
                <w:rFonts w:hint="eastAsia"/>
              </w:rPr>
            </w:pPr>
            <w:r>
              <w:rPr>
                <w:rFonts w:hint="eastAsia"/>
                <w:lang w:val="en-US" w:eastAsia="zh-CN"/>
              </w:rPr>
              <w:t>——内窥镜的光出射部分的温度超过</w:t>
            </w:r>
            <w:r>
              <w:rPr>
                <w:lang w:val="en-US" w:eastAsia="zh-CN"/>
              </w:rPr>
              <w:t>41℃；</w:t>
            </w:r>
          </w:p>
          <w:p>
            <w:pPr>
              <w:rPr>
                <w:rFonts w:hint="eastAsia"/>
              </w:rPr>
            </w:pPr>
            <w:r>
              <w:rPr>
                <w:rFonts w:hint="eastAsia"/>
                <w:lang w:val="en-US" w:eastAsia="zh-CN"/>
              </w:rPr>
              <w:t>——连接在供给装置或内窥镜上的导光束温度超过</w:t>
            </w:r>
            <w:r>
              <w:rPr>
                <w:lang w:val="en-US" w:eastAsia="zh-CN"/>
              </w:rPr>
              <w:t>41℃。</w:t>
            </w:r>
            <w:bookmarkStart w:id="0" w:name="_GoBack"/>
            <w:bookmarkEnd w:id="0"/>
          </w:p>
        </w:tc>
        <w:tc>
          <w:tcPr>
            <w:tcW w:w="1845" w:type="dxa"/>
            <w:vMerge w:val="restart"/>
            <w:tcBorders>
              <w:top w:val="single" w:color="000000" w:sz="4" w:space="0"/>
              <w:left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35"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1080"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使用说明书应给出合适的警告信息并给出采取措施的建议，避免对患者产生不可接受的风险。这些警告信息应包括对表面高温的所产生潜在临床结果的说明，如永久性组织损伤或凝结（见</w:t>
            </w:r>
            <w:r>
              <w:rPr>
                <w:lang w:val="en-US" w:eastAsia="zh-CN"/>
              </w:rPr>
              <w:t>201.7.9.2.2）。</w:t>
            </w:r>
          </w:p>
          <w:p>
            <w:pPr>
              <w:rPr>
                <w:rFonts w:hint="eastAsia"/>
              </w:rPr>
            </w:pPr>
            <w:r>
              <w:rPr>
                <w:rFonts w:hint="eastAsia"/>
                <w:lang w:val="en-US" w:eastAsia="zh-CN"/>
              </w:rPr>
              <w:t>检查风险管理文件，是否符合要求</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2"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r>
              <w:rPr>
                <w:rFonts w:hint="eastAsia"/>
                <w:lang w:val="en-US" w:eastAsia="zh-CN"/>
              </w:rPr>
              <w:t>201.11.1.4</w:t>
            </w:r>
          </w:p>
        </w:tc>
        <w:tc>
          <w:tcPr>
            <w:tcW w:w="1080"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rPr>
            </w:pPr>
            <w:r>
              <w:rPr>
                <w:rFonts w:hint="eastAsia"/>
                <w:lang w:val="en-US" w:eastAsia="zh-CN"/>
              </w:rPr>
              <w:t xml:space="preserve"> </w:t>
            </w:r>
            <w:r>
              <w:rPr>
                <w:lang w:val="en-US" w:eastAsia="zh-CN"/>
              </w:rPr>
              <w:t>防护装置</w:t>
            </w:r>
          </w:p>
        </w:tc>
        <w:tc>
          <w:tcPr>
            <w:tcW w:w="4155" w:type="dxa"/>
            <w:tcBorders>
              <w:top w:val="single" w:color="000000" w:sz="4" w:space="0"/>
              <w:left w:val="single" w:color="000000" w:sz="4" w:space="0"/>
              <w:bottom w:val="single" w:color="000000" w:sz="4" w:space="0"/>
              <w:right w:val="nil"/>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rPr>
            </w:pPr>
            <w:r>
              <w:rPr>
                <w:rFonts w:hint="eastAsia"/>
                <w:lang w:val="en-US" w:eastAsia="zh-CN"/>
              </w:rPr>
              <w:t>不使用工具就可接触供给装置的照明灯泡，在进口盖或附近应有标记，以便于灯泡更换（优先使用</w:t>
            </w:r>
            <w:r>
              <w:rPr>
                <w:lang w:val="en-US" w:eastAsia="zh-CN"/>
              </w:rPr>
              <w:t>IEC 60417-5041 (2002-10)的符号），并在使用说明中包含警告信息（见201.7.9.2.2）。</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mU2MDM0YTIyNDc0NjU0NmY3ZWFlNDZiNjU5ZmQifQ=="/>
  </w:docVars>
  <w:rsids>
    <w:rsidRoot w:val="56DF4825"/>
    <w:rsid w:val="17993A02"/>
    <w:rsid w:val="24F904EE"/>
    <w:rsid w:val="2F195D74"/>
    <w:rsid w:val="40DB3F39"/>
    <w:rsid w:val="56DF4825"/>
    <w:rsid w:val="5C8271E3"/>
    <w:rsid w:val="64562AF1"/>
    <w:rsid w:val="6717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黑体" w:hAnsi="宋体" w:eastAsia="黑体" w:cs="黑体"/>
      <w:color w:val="000000"/>
      <w:sz w:val="21"/>
      <w:szCs w:val="21"/>
      <w:u w:val="none"/>
    </w:rPr>
  </w:style>
  <w:style w:type="character" w:customStyle="1" w:styleId="5">
    <w:name w:val="font01"/>
    <w:basedOn w:val="3"/>
    <w:uiPriority w:val="0"/>
    <w:rPr>
      <w:rFonts w:hint="default" w:ascii="Times New Roman" w:hAnsi="Times New Roman" w:cs="Times New Roman"/>
      <w:color w:val="000000"/>
      <w:sz w:val="21"/>
      <w:szCs w:val="21"/>
      <w:u w:val="none"/>
    </w:rPr>
  </w:style>
  <w:style w:type="character" w:customStyle="1" w:styleId="6">
    <w:name w:val="font61"/>
    <w:basedOn w:val="3"/>
    <w:qFormat/>
    <w:uiPriority w:val="0"/>
    <w:rPr>
      <w:rFonts w:hint="eastAsia" w:ascii="宋体" w:hAnsi="宋体" w:eastAsia="宋体" w:cs="宋体"/>
      <w:color w:val="000000"/>
      <w:sz w:val="21"/>
      <w:szCs w:val="21"/>
      <w:u w:val="none"/>
    </w:rPr>
  </w:style>
  <w:style w:type="character" w:customStyle="1" w:styleId="7">
    <w:name w:val="font71"/>
    <w:basedOn w:val="3"/>
    <w:uiPriority w:val="0"/>
    <w:rPr>
      <w:rFonts w:hint="eastAsia" w:ascii="宋体" w:hAnsi="宋体" w:eastAsia="宋体" w:cs="宋体"/>
      <w:color w:val="000000"/>
      <w:sz w:val="21"/>
      <w:szCs w:val="21"/>
      <w:u w:val="none"/>
    </w:rPr>
  </w:style>
  <w:style w:type="character" w:customStyle="1" w:styleId="8">
    <w:name w:val="font111"/>
    <w:basedOn w:val="3"/>
    <w:uiPriority w:val="0"/>
    <w:rPr>
      <w:rFonts w:hint="eastAsia" w:ascii="黑体" w:hAnsi="宋体" w:eastAsia="黑体" w:cs="黑体"/>
      <w:color w:val="000000"/>
      <w:sz w:val="21"/>
      <w:szCs w:val="21"/>
      <w:u w:val="none"/>
    </w:rPr>
  </w:style>
  <w:style w:type="character" w:customStyle="1" w:styleId="9">
    <w:name w:val="font122"/>
    <w:basedOn w:val="3"/>
    <w:qFormat/>
    <w:uiPriority w:val="0"/>
    <w:rPr>
      <w:rFonts w:hint="default" w:ascii="Times New Roman" w:hAnsi="Times New Roman" w:cs="Times New Roman"/>
      <w:color w:val="000000"/>
      <w:sz w:val="15"/>
      <w:szCs w:val="15"/>
      <w:u w:val="none"/>
    </w:rPr>
  </w:style>
  <w:style w:type="character" w:customStyle="1" w:styleId="10">
    <w:name w:val="font81"/>
    <w:basedOn w:val="3"/>
    <w:uiPriority w:val="0"/>
    <w:rPr>
      <w:rFonts w:hint="eastAsia" w:ascii="宋体" w:hAnsi="宋体" w:eastAsia="宋体" w:cs="宋体"/>
      <w:color w:val="000000"/>
      <w:sz w:val="15"/>
      <w:szCs w:val="15"/>
      <w:u w:val="none"/>
    </w:rPr>
  </w:style>
  <w:style w:type="character" w:customStyle="1" w:styleId="11">
    <w:name w:val="font131"/>
    <w:basedOn w:val="3"/>
    <w:uiPriority w:val="0"/>
    <w:rPr>
      <w:rFonts w:hint="eastAsia" w:ascii="黑体" w:hAnsi="宋体" w:eastAsia="黑体" w:cs="黑体"/>
      <w:color w:val="FF0000"/>
      <w:sz w:val="21"/>
      <w:szCs w:val="21"/>
      <w:u w:val="none"/>
    </w:rPr>
  </w:style>
  <w:style w:type="character" w:customStyle="1" w:styleId="12">
    <w:name w:val="font141"/>
    <w:basedOn w:val="3"/>
    <w:uiPriority w:val="0"/>
    <w:rPr>
      <w:rFonts w:hint="default" w:ascii="Times New Roman" w:hAnsi="Times New Roman" w:cs="Times New Roman"/>
      <w:color w:val="000000"/>
      <w:sz w:val="18"/>
      <w:szCs w:val="18"/>
      <w:u w:val="none"/>
    </w:rPr>
  </w:style>
  <w:style w:type="character" w:customStyle="1" w:styleId="13">
    <w:name w:val="font10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2044</Words>
  <Characters>2293</Characters>
  <Lines>0</Lines>
  <Paragraphs>0</Paragraphs>
  <TotalTime>1</TotalTime>
  <ScaleCrop>false</ScaleCrop>
  <LinksUpToDate>false</LinksUpToDate>
  <CharactersWithSpaces>2316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2022-10-26T06:21:00Z</dcterms:created>
  <dc:creator>粽子</dc:creator>
  <cp:lastModifiedBy>粽子</cp:lastModifiedBy>
  <dcterms:modified xsi:type="dcterms:W3CDTF">2022-10-26T07:11:14Z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3B1B3D3FCBD24FB9BC0E58D9357A8CB9</vt:lpwstr>
  </property>
</Properties>
</file>